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B94" w:rsidRPr="00801714" w:rsidRDefault="008F1B94" w:rsidP="00811263">
      <w:pPr>
        <w:pStyle w:val="1"/>
      </w:pPr>
      <w:bookmarkStart w:id="0" w:name="_Toc81725067"/>
      <w:bookmarkStart w:id="1" w:name="_GoBack"/>
      <w:r w:rsidRPr="00801714">
        <w:rPr>
          <w:rFonts w:hint="eastAsia"/>
        </w:rPr>
        <w:t>华东师范大学博士、硕士学位论文重合率检测结果处理办法</w:t>
      </w:r>
      <w:bookmarkEnd w:id="0"/>
    </w:p>
    <w:bookmarkEnd w:id="1"/>
    <w:p w:rsidR="008F1B94" w:rsidRDefault="008F1B94" w:rsidP="00811263">
      <w:pPr>
        <w:pStyle w:val="a8"/>
        <w:widowControl w:val="0"/>
        <w:spacing w:before="60" w:after="60" w:line="300" w:lineRule="auto"/>
        <w:ind w:firstLineChars="200" w:firstLine="560"/>
        <w:rPr>
          <w:rFonts w:ascii="宋体" w:eastAsia="宋体" w:cs="宋体"/>
          <w:sz w:val="28"/>
          <w:szCs w:val="28"/>
        </w:rPr>
      </w:pP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为进一步加强学风建设，提高学位论文质量，保障我校学位授予工作有序开展，根据教育部《学位论文作假行为处理办法》及学校相关制度，现就我校博士、硕士学位论文重合率检测结果的处理，规定如下：</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一、博士、硕士学位申请人在完成学位论文定稿后，需向所在培养单位提交学位论文电子版，由培养单位或学位管理办公室进行论文重合率检测。学位管理办公室通过检测系统对各院系检测情况进行监督管理。</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二、博士、硕士学位论文重合率检测结果，由所在培养单位向各学科分委员会汇报。</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三、学位论文检测重合率达到</w:t>
      </w:r>
      <w:r>
        <w:rPr>
          <w:rFonts w:ascii="宋体" w:eastAsia="宋体" w:cs="宋体"/>
          <w:sz w:val="21"/>
          <w:szCs w:val="21"/>
        </w:rPr>
        <w:t>30%</w:t>
      </w:r>
      <w:r>
        <w:rPr>
          <w:rFonts w:ascii="宋体" w:eastAsia="宋体" w:cs="宋体" w:hint="eastAsia"/>
          <w:sz w:val="21"/>
          <w:szCs w:val="21"/>
        </w:rPr>
        <w:t>（含）以上者，学位管理办公室将向校学位评定委员会和分委员会提交名单，供审核或审批学位申请时参考。</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四、对不同重合率结果的具体处理程序</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、学位论文的检测结果论文文字重合率在</w:t>
      </w:r>
      <w:r>
        <w:rPr>
          <w:rFonts w:ascii="宋体" w:eastAsia="宋体" w:cs="宋体"/>
          <w:sz w:val="21"/>
          <w:szCs w:val="21"/>
        </w:rPr>
        <w:t>50%</w:t>
      </w:r>
      <w:r>
        <w:rPr>
          <w:rFonts w:ascii="宋体" w:eastAsia="宋体" w:cs="宋体" w:hint="eastAsia"/>
          <w:sz w:val="21"/>
          <w:szCs w:val="21"/>
        </w:rPr>
        <w:t>（含）以上者，由学位管理办公室提交相关学位评定分委员会进行审核，对存在作假情形的论文提交学校专门委员会进行认定。认定期间暂缓受理学位申请。</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、学位论文的检测结果论文文字重合率在</w:t>
      </w:r>
      <w:r>
        <w:rPr>
          <w:rFonts w:ascii="宋体" w:eastAsia="宋体" w:cs="宋体"/>
          <w:sz w:val="21"/>
          <w:szCs w:val="21"/>
        </w:rPr>
        <w:t>30%</w:t>
      </w:r>
      <w:r>
        <w:rPr>
          <w:rFonts w:ascii="宋体" w:eastAsia="宋体" w:cs="宋体" w:hint="eastAsia"/>
          <w:sz w:val="21"/>
          <w:szCs w:val="21"/>
        </w:rPr>
        <w:t>（含）至</w:t>
      </w:r>
      <w:r>
        <w:rPr>
          <w:rFonts w:ascii="宋体" w:eastAsia="宋体" w:cs="宋体"/>
          <w:sz w:val="21"/>
          <w:szCs w:val="21"/>
        </w:rPr>
        <w:t>50%</w:t>
      </w:r>
      <w:r>
        <w:rPr>
          <w:rFonts w:ascii="宋体" w:eastAsia="宋体" w:cs="宋体" w:hint="eastAsia"/>
          <w:sz w:val="21"/>
          <w:szCs w:val="21"/>
        </w:rPr>
        <w:t>之间者，暂不能进入学位论文答辩程序，由所在培养单位将学位论文提交分委员会进行审核。</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w:t>
      </w:r>
      <w:r>
        <w:rPr>
          <w:rFonts w:ascii="宋体" w:eastAsia="宋体" w:cs="宋体"/>
          <w:sz w:val="21"/>
          <w:szCs w:val="21"/>
        </w:rPr>
        <w:t>1</w:t>
      </w:r>
      <w:r>
        <w:rPr>
          <w:rFonts w:ascii="宋体" w:eastAsia="宋体" w:cs="宋体" w:hint="eastAsia"/>
          <w:sz w:val="21"/>
          <w:szCs w:val="21"/>
        </w:rPr>
        <w:t>）对存在作假行为的论文，提交学校专门委员会进行认定。认定期间暂缓受理学位申请；</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w:t>
      </w:r>
      <w:r>
        <w:rPr>
          <w:rFonts w:ascii="宋体" w:eastAsia="宋体" w:cs="宋体"/>
          <w:sz w:val="21"/>
          <w:szCs w:val="21"/>
        </w:rPr>
        <w:t>2</w:t>
      </w:r>
      <w:r>
        <w:rPr>
          <w:rFonts w:ascii="宋体" w:eastAsia="宋体" w:cs="宋体" w:hint="eastAsia"/>
          <w:sz w:val="21"/>
          <w:szCs w:val="21"/>
        </w:rPr>
        <w:t>）确认论文存在不端行为，但文字经修改，能够符合学术规范，学术观点不属于抄袭、剽窃者，须在一年内进行论文修改，至少延期半年才能提出学位论文答辩申请；</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w:t>
      </w:r>
      <w:r>
        <w:rPr>
          <w:rFonts w:ascii="宋体" w:eastAsia="宋体" w:cs="宋体"/>
          <w:sz w:val="21"/>
          <w:szCs w:val="21"/>
        </w:rPr>
        <w:t>3</w:t>
      </w:r>
      <w:r>
        <w:rPr>
          <w:rFonts w:ascii="宋体" w:eastAsia="宋体" w:cs="宋体" w:hint="eastAsia"/>
          <w:sz w:val="21"/>
          <w:szCs w:val="21"/>
        </w:rPr>
        <w:t>）确认重合文字不属于学术不端行为，应由导师或专家写出书面意见，详细说明论文不存在学术不端行为，导师、论文作者（学位申请者）、培养单位负责人、分委员会主席签字并加盖公章后交学位管理办公室，申请人方可进行论文答辩程序。</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、学位论文的检测结果论文文字重合率在</w:t>
      </w:r>
      <w:r>
        <w:rPr>
          <w:rFonts w:ascii="宋体" w:eastAsia="宋体" w:cs="宋体"/>
          <w:sz w:val="21"/>
          <w:szCs w:val="21"/>
        </w:rPr>
        <w:t>10%</w:t>
      </w:r>
      <w:r>
        <w:rPr>
          <w:rFonts w:ascii="宋体" w:eastAsia="宋体" w:cs="宋体" w:hint="eastAsia"/>
          <w:sz w:val="21"/>
          <w:szCs w:val="21"/>
        </w:rPr>
        <w:t>（含）至</w:t>
      </w:r>
      <w:r>
        <w:rPr>
          <w:rFonts w:ascii="宋体" w:eastAsia="宋体" w:cs="宋体"/>
          <w:sz w:val="21"/>
          <w:szCs w:val="21"/>
        </w:rPr>
        <w:t>30%</w:t>
      </w:r>
      <w:r>
        <w:rPr>
          <w:rFonts w:ascii="宋体" w:eastAsia="宋体" w:cs="宋体" w:hint="eastAsia"/>
          <w:sz w:val="21"/>
          <w:szCs w:val="21"/>
        </w:rPr>
        <w:t>之间者，由培养单位决定组织专家或提交分委员会对论文进行复核。</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w:t>
      </w:r>
      <w:r>
        <w:rPr>
          <w:rFonts w:ascii="宋体" w:eastAsia="宋体" w:cs="宋体"/>
          <w:sz w:val="21"/>
          <w:szCs w:val="21"/>
        </w:rPr>
        <w:t>1</w:t>
      </w:r>
      <w:r>
        <w:rPr>
          <w:rFonts w:ascii="宋体" w:eastAsia="宋体" w:cs="宋体" w:hint="eastAsia"/>
          <w:sz w:val="21"/>
          <w:szCs w:val="21"/>
        </w:rPr>
        <w:t>）确认重合文字系学术不端，且该部分文字及观点系论文的主要组成部分者，不能进入答辩程序，由学位评定分委员会决定是否改换论文题目重新撰写论文，新写论文时间不得少于一年；</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w:t>
      </w:r>
      <w:r>
        <w:rPr>
          <w:rFonts w:ascii="宋体" w:eastAsia="宋体" w:cs="宋体"/>
          <w:sz w:val="21"/>
          <w:szCs w:val="21"/>
        </w:rPr>
        <w:t>2</w:t>
      </w:r>
      <w:r>
        <w:rPr>
          <w:rFonts w:ascii="宋体" w:eastAsia="宋体" w:cs="宋体" w:hint="eastAsia"/>
          <w:sz w:val="21"/>
          <w:szCs w:val="21"/>
        </w:rPr>
        <w:t>）确认虽属于学术不端行为，但经修改后能达到合格学位论文要求者，须至少修改三个月后方能进入答辩程序；</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lastRenderedPageBreak/>
        <w:t>（</w:t>
      </w:r>
      <w:r>
        <w:rPr>
          <w:rFonts w:ascii="宋体" w:eastAsia="宋体" w:cs="宋体"/>
          <w:sz w:val="21"/>
          <w:szCs w:val="21"/>
        </w:rPr>
        <w:t>3</w:t>
      </w:r>
      <w:r>
        <w:rPr>
          <w:rFonts w:ascii="宋体" w:eastAsia="宋体" w:cs="宋体" w:hint="eastAsia"/>
          <w:sz w:val="21"/>
          <w:szCs w:val="21"/>
        </w:rPr>
        <w:t>）确认重合文字不属于学术不端行为者，应由导师或专家（分委员会）写出书面意见，详细说明论文不存在学术不端行为，导师、论文作者（学位申请者）、培养单位负责人签字并加盖公章后交学位管理办公室，申请人方可申请进行论文答辩。</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4</w:t>
      </w:r>
      <w:r>
        <w:rPr>
          <w:rFonts w:ascii="宋体" w:eastAsia="宋体" w:cs="宋体" w:hint="eastAsia"/>
          <w:sz w:val="21"/>
          <w:szCs w:val="21"/>
        </w:rPr>
        <w:t>、学位论文的检测结果论文文字重合率在</w:t>
      </w:r>
      <w:r>
        <w:rPr>
          <w:rFonts w:ascii="宋体" w:eastAsia="宋体" w:cs="宋体"/>
          <w:sz w:val="21"/>
          <w:szCs w:val="21"/>
        </w:rPr>
        <w:t>5%</w:t>
      </w:r>
      <w:r>
        <w:rPr>
          <w:rFonts w:ascii="宋体" w:eastAsia="宋体" w:cs="宋体" w:hint="eastAsia"/>
          <w:sz w:val="21"/>
          <w:szCs w:val="21"/>
        </w:rPr>
        <w:t>（含）至</w:t>
      </w:r>
      <w:r>
        <w:rPr>
          <w:rFonts w:ascii="宋体" w:eastAsia="宋体" w:cs="宋体"/>
          <w:sz w:val="21"/>
          <w:szCs w:val="21"/>
        </w:rPr>
        <w:t>10%</w:t>
      </w:r>
      <w:r>
        <w:rPr>
          <w:rFonts w:ascii="宋体" w:eastAsia="宋体" w:cs="宋体" w:hint="eastAsia"/>
          <w:sz w:val="21"/>
          <w:szCs w:val="21"/>
        </w:rPr>
        <w:t>之间者，由培养单位决定是否要求申请人对论文进行修改、由培养单位决定是否对修改后论文重合率组织专家审核，由培养单位决定是否允许申请人进入答辩程序。</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5</w:t>
      </w:r>
      <w:r>
        <w:rPr>
          <w:rFonts w:ascii="宋体" w:eastAsia="宋体" w:cs="宋体" w:hint="eastAsia"/>
          <w:sz w:val="21"/>
          <w:szCs w:val="21"/>
        </w:rPr>
        <w:t>、学位论文的检测结果论文文字重合率在</w:t>
      </w:r>
      <w:r>
        <w:rPr>
          <w:rFonts w:ascii="宋体" w:eastAsia="宋体" w:cs="宋体"/>
          <w:sz w:val="21"/>
          <w:szCs w:val="21"/>
        </w:rPr>
        <w:t>5%</w:t>
      </w:r>
      <w:r>
        <w:rPr>
          <w:rFonts w:ascii="宋体" w:eastAsia="宋体" w:cs="宋体" w:hint="eastAsia"/>
          <w:sz w:val="21"/>
          <w:szCs w:val="21"/>
        </w:rPr>
        <w:t>以下者，由导师决定是否要求申请人对论文进行修改、由培养单位决定对修改后论文重合率是否组织专家审核，由培养单位决定是否允许申请人进入答辩程序。</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6</w:t>
      </w:r>
      <w:r>
        <w:rPr>
          <w:rFonts w:ascii="宋体" w:eastAsia="宋体" w:cs="宋体" w:hint="eastAsia"/>
          <w:sz w:val="21"/>
          <w:szCs w:val="21"/>
        </w:rPr>
        <w:t>、研究生本次就读期间在公开刊物发表的科研创新成果，作为论文组成部分时，不计入文字重合率认定。</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五、被认定存在学位论文作假行为者，将根据教育部《学位论文作假行为处理办法》及学校有关规定，取消其学位申请资格或撤销其学位。</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六、研究生院将随机对已通过重合率检测且完成答辩的学位论文进行学术不端行为电子检测和认定，对存在作假嫌疑的学位论文，将提交有关学位评定分委员会和学校学术伦理与法律委员会进行调查认定。一经确认存在学位论文作假行为，将根据教育部《学位论文作假行为处理办法》及学校有关规定处理。</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七、因学位论文作假而被取消其学位申请资格或撤销其学位者，其申诉、复议可按学校有关规定进行。</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八、学校鼓励各分委员会根据学科专业特性，在保证学术规范的前提下，制定符合自己学科专业情况的重合率检测结果处理办法。自定检测结果处理办法请报送学位管理办公室备案。专业学位的学位论文检测办法另行制定。</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九、学位管理办公室负责本办法的解释。</w:t>
      </w:r>
    </w:p>
    <w:p w:rsidR="008F1B94" w:rsidRDefault="008F1B94"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十、本办法自公布之日起实施。</w:t>
      </w:r>
    </w:p>
    <w:p w:rsidR="008F1B94" w:rsidRDefault="008F1B94" w:rsidP="00811263">
      <w:pPr>
        <w:pStyle w:val="a3"/>
        <w:widowControl w:val="0"/>
        <w:spacing w:before="60" w:after="60" w:line="300" w:lineRule="auto"/>
        <w:ind w:firstLineChars="200" w:firstLine="422"/>
        <w:rPr>
          <w:rStyle w:val="a9"/>
          <w:b/>
        </w:rPr>
      </w:pPr>
    </w:p>
    <w:p w:rsidR="008F1B94" w:rsidRDefault="008F1B94" w:rsidP="00811263">
      <w:pPr>
        <w:pStyle w:val="a3"/>
        <w:widowControl w:val="0"/>
        <w:spacing w:before="60" w:after="60" w:line="300" w:lineRule="auto"/>
        <w:ind w:firstLineChars="200" w:firstLine="422"/>
        <w:rPr>
          <w:rStyle w:val="a9"/>
          <w:b/>
        </w:rPr>
      </w:pPr>
    </w:p>
    <w:p w:rsidR="008F1B94" w:rsidRDefault="008F1B94" w:rsidP="009A29AA">
      <w:pPr>
        <w:pStyle w:val="a3"/>
        <w:widowControl w:val="0"/>
        <w:spacing w:before="60" w:after="60" w:line="300" w:lineRule="auto"/>
        <w:rPr>
          <w:rStyle w:val="a9"/>
          <w:rFonts w:hint="eastAsia"/>
          <w:b/>
        </w:rPr>
      </w:pPr>
    </w:p>
    <w:sectPr w:rsidR="008F1B94" w:rsidSect="00BA5DAC">
      <w:footerReference w:type="even" r:id="rId7"/>
      <w:footerReference w:type="default" r:id="rId8"/>
      <w:pgSz w:w="10433" w:h="14742"/>
      <w:pgMar w:top="1418" w:right="1134" w:bottom="1418" w:left="1134" w:header="73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7BEF" w:rsidRDefault="00B17BEF" w:rsidP="00BA5DAC">
      <w:pPr>
        <w:spacing w:after="0" w:line="240" w:lineRule="auto"/>
      </w:pPr>
      <w:r>
        <w:separator/>
      </w:r>
    </w:p>
  </w:endnote>
  <w:endnote w:type="continuationSeparator" w:id="0">
    <w:p w:rsidR="00B17BEF" w:rsidRDefault="00B17BEF" w:rsidP="00BA5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dobeSongStd-Light">
    <w:altName w:val="宋体"/>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7034226"/>
      <w:docPartObj>
        <w:docPartGallery w:val="Page Numbers (Bottom of Page)"/>
        <w:docPartUnique/>
      </w:docPartObj>
    </w:sdtPr>
    <w:sdtEndPr/>
    <w:sdtContent>
      <w:p w:rsidR="00811263" w:rsidRDefault="00811263">
        <w:pPr>
          <w:pStyle w:val="a6"/>
        </w:pPr>
        <w:r>
          <w:fldChar w:fldCharType="begin"/>
        </w:r>
        <w:r>
          <w:instrText>PAGE   \* MERGEFORMAT</w:instrText>
        </w:r>
        <w:r>
          <w:fldChar w:fldCharType="separate"/>
        </w:r>
        <w:r w:rsidR="00472461" w:rsidRPr="00472461">
          <w:rPr>
            <w:noProof/>
            <w:lang w:val="zh-CN"/>
          </w:rPr>
          <w:t>120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5542557"/>
      <w:docPartObj>
        <w:docPartGallery w:val="Page Numbers (Bottom of Page)"/>
        <w:docPartUnique/>
      </w:docPartObj>
    </w:sdtPr>
    <w:sdtEndPr/>
    <w:sdtContent>
      <w:p w:rsidR="00811263" w:rsidRDefault="00811263" w:rsidP="009C7418">
        <w:pPr>
          <w:pStyle w:val="a6"/>
          <w:jc w:val="right"/>
        </w:pPr>
        <w:r>
          <w:fldChar w:fldCharType="begin"/>
        </w:r>
        <w:r>
          <w:instrText>PAGE   \* MERGEFORMAT</w:instrText>
        </w:r>
        <w:r>
          <w:fldChar w:fldCharType="separate"/>
        </w:r>
        <w:r w:rsidR="00472461" w:rsidRPr="00472461">
          <w:rPr>
            <w:noProof/>
            <w:lang w:val="zh-CN"/>
          </w:rPr>
          <w:t>121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7BEF" w:rsidRDefault="00B17BEF" w:rsidP="00BA5DAC">
      <w:pPr>
        <w:spacing w:after="0" w:line="240" w:lineRule="auto"/>
      </w:pPr>
      <w:r>
        <w:separator/>
      </w:r>
    </w:p>
  </w:footnote>
  <w:footnote w:type="continuationSeparator" w:id="0">
    <w:p w:rsidR="00B17BEF" w:rsidRDefault="00B17BEF" w:rsidP="00BA5D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AC"/>
    <w:rsid w:val="000D1BF6"/>
    <w:rsid w:val="000E5158"/>
    <w:rsid w:val="00104238"/>
    <w:rsid w:val="00113F63"/>
    <w:rsid w:val="001D02B7"/>
    <w:rsid w:val="00213A9D"/>
    <w:rsid w:val="00227E59"/>
    <w:rsid w:val="00251C16"/>
    <w:rsid w:val="00326EE9"/>
    <w:rsid w:val="0044232C"/>
    <w:rsid w:val="00472461"/>
    <w:rsid w:val="004F72E0"/>
    <w:rsid w:val="00500E69"/>
    <w:rsid w:val="0050433E"/>
    <w:rsid w:val="00563D23"/>
    <w:rsid w:val="00596A4F"/>
    <w:rsid w:val="005F5B46"/>
    <w:rsid w:val="006C5AA3"/>
    <w:rsid w:val="006F2EEF"/>
    <w:rsid w:val="00731502"/>
    <w:rsid w:val="007373D9"/>
    <w:rsid w:val="007C7221"/>
    <w:rsid w:val="007F4087"/>
    <w:rsid w:val="007F4ED6"/>
    <w:rsid w:val="00801714"/>
    <w:rsid w:val="00811263"/>
    <w:rsid w:val="008668DC"/>
    <w:rsid w:val="008E70C4"/>
    <w:rsid w:val="008F1B94"/>
    <w:rsid w:val="008F4154"/>
    <w:rsid w:val="009065AA"/>
    <w:rsid w:val="009A29AA"/>
    <w:rsid w:val="009C7418"/>
    <w:rsid w:val="009E6D2E"/>
    <w:rsid w:val="009F714A"/>
    <w:rsid w:val="00A5767B"/>
    <w:rsid w:val="00B17BEF"/>
    <w:rsid w:val="00B22E7F"/>
    <w:rsid w:val="00B518D2"/>
    <w:rsid w:val="00BA5DAC"/>
    <w:rsid w:val="00BB109D"/>
    <w:rsid w:val="00C66567"/>
    <w:rsid w:val="00C97B1C"/>
    <w:rsid w:val="00CE1419"/>
    <w:rsid w:val="00CE6CC8"/>
    <w:rsid w:val="00D41278"/>
    <w:rsid w:val="00DB7FD8"/>
    <w:rsid w:val="00DC72E8"/>
    <w:rsid w:val="00ED3B69"/>
    <w:rsid w:val="00EE6399"/>
    <w:rsid w:val="00F16ECD"/>
    <w:rsid w:val="00F20CEB"/>
    <w:rsid w:val="00F83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431D3"/>
  <w15:chartTrackingRefBased/>
  <w15:docId w15:val="{3FA7A166-F267-462D-9A16-1351A1B8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11263"/>
    <w:pPr>
      <w:pageBreakBefore/>
      <w:widowControl w:val="0"/>
      <w:spacing w:before="60" w:after="60" w:line="360" w:lineRule="auto"/>
      <w:jc w:val="center"/>
      <w:outlineLvl w:val="0"/>
    </w:pPr>
    <w:rPr>
      <w:rFonts w:ascii="Times New Roman" w:eastAsia="宋体" w:hAnsi="Times New Roman"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A5DAC"/>
    <w:pPr>
      <w:autoSpaceDE w:val="0"/>
      <w:autoSpaceDN w:val="0"/>
      <w:adjustRightInd w:val="0"/>
      <w:spacing w:after="0" w:line="288" w:lineRule="auto"/>
      <w:jc w:val="both"/>
      <w:textAlignment w:val="center"/>
    </w:pPr>
    <w:rPr>
      <w:rFonts w:ascii="AdobeSongStd-Light" w:eastAsia="AdobeSongStd-Light" w:cs="AdobeSongStd-Light"/>
      <w:color w:val="000000"/>
      <w:sz w:val="24"/>
      <w:szCs w:val="24"/>
      <w:lang w:val="zh-CN"/>
    </w:rPr>
  </w:style>
  <w:style w:type="paragraph" w:styleId="a4">
    <w:name w:val="header"/>
    <w:basedOn w:val="a"/>
    <w:link w:val="a5"/>
    <w:uiPriority w:val="99"/>
    <w:unhideWhenUsed/>
    <w:rsid w:val="00BA5DAC"/>
    <w:pPr>
      <w:tabs>
        <w:tab w:val="center" w:pos="4320"/>
        <w:tab w:val="right" w:pos="8640"/>
      </w:tabs>
      <w:spacing w:after="0" w:line="240" w:lineRule="auto"/>
    </w:pPr>
  </w:style>
  <w:style w:type="character" w:customStyle="1" w:styleId="a5">
    <w:name w:val="页眉 字符"/>
    <w:basedOn w:val="a0"/>
    <w:link w:val="a4"/>
    <w:uiPriority w:val="99"/>
    <w:rsid w:val="00BA5DAC"/>
  </w:style>
  <w:style w:type="paragraph" w:styleId="a6">
    <w:name w:val="footer"/>
    <w:basedOn w:val="a"/>
    <w:link w:val="a7"/>
    <w:uiPriority w:val="99"/>
    <w:unhideWhenUsed/>
    <w:rsid w:val="00BA5DAC"/>
    <w:pPr>
      <w:tabs>
        <w:tab w:val="center" w:pos="4320"/>
        <w:tab w:val="right" w:pos="8640"/>
      </w:tabs>
      <w:spacing w:after="0" w:line="240" w:lineRule="auto"/>
    </w:pPr>
  </w:style>
  <w:style w:type="character" w:customStyle="1" w:styleId="a7">
    <w:name w:val="页脚 字符"/>
    <w:basedOn w:val="a0"/>
    <w:link w:val="a6"/>
    <w:uiPriority w:val="99"/>
    <w:rsid w:val="00BA5DAC"/>
  </w:style>
  <w:style w:type="paragraph" w:customStyle="1" w:styleId="a8">
    <w:name w:val="标题一"/>
    <w:basedOn w:val="a"/>
    <w:uiPriority w:val="99"/>
    <w:rsid w:val="00BA5DAC"/>
    <w:pPr>
      <w:autoSpaceDE w:val="0"/>
      <w:autoSpaceDN w:val="0"/>
      <w:adjustRightInd w:val="0"/>
      <w:spacing w:before="113" w:after="0" w:line="360" w:lineRule="atLeast"/>
      <w:jc w:val="both"/>
      <w:textAlignment w:val="center"/>
    </w:pPr>
    <w:rPr>
      <w:rFonts w:ascii="AdobeSongStd-Light" w:eastAsia="AdobeSongStd-Light" w:cs="AdobeSongStd-Light"/>
      <w:color w:val="000000"/>
      <w:sz w:val="21"/>
      <w:szCs w:val="21"/>
      <w:lang w:val="zh-CN"/>
    </w:rPr>
  </w:style>
  <w:style w:type="character" w:customStyle="1" w:styleId="a9">
    <w:name w:val="文字加粗"/>
    <w:uiPriority w:val="99"/>
    <w:rsid w:val="00BA5DAC"/>
    <w:rPr>
      <w:rFonts w:ascii="宋体" w:eastAsia="宋体" w:cs="宋体"/>
      <w:color w:val="000000"/>
      <w:sz w:val="21"/>
      <w:szCs w:val="21"/>
    </w:rPr>
  </w:style>
  <w:style w:type="paragraph" w:customStyle="1" w:styleId="aa">
    <w:name w:val="[无段落样式]"/>
    <w:rsid w:val="007F4ED6"/>
    <w:pPr>
      <w:autoSpaceDE w:val="0"/>
      <w:autoSpaceDN w:val="0"/>
      <w:adjustRightInd w:val="0"/>
      <w:spacing w:after="0" w:line="288" w:lineRule="auto"/>
      <w:jc w:val="both"/>
      <w:textAlignment w:val="center"/>
    </w:pPr>
    <w:rPr>
      <w:rFonts w:ascii="AdobeSongStd-Light" w:eastAsia="AdobeSongStd-Light" w:cs="AdobeSongStd-Light"/>
      <w:color w:val="000000"/>
      <w:sz w:val="24"/>
      <w:szCs w:val="24"/>
      <w:lang w:val="zh-CN"/>
    </w:rPr>
  </w:style>
  <w:style w:type="table" w:styleId="ab">
    <w:name w:val="Table Grid"/>
    <w:basedOn w:val="a1"/>
    <w:uiPriority w:val="39"/>
    <w:rsid w:val="007F4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表格中加粗"/>
    <w:uiPriority w:val="99"/>
    <w:rsid w:val="00F16ECD"/>
    <w:rPr>
      <w:color w:val="000000"/>
      <w:sz w:val="21"/>
      <w:szCs w:val="21"/>
    </w:rPr>
  </w:style>
  <w:style w:type="character" w:customStyle="1" w:styleId="ad">
    <w:name w:val="条－文字加粗"/>
    <w:uiPriority w:val="99"/>
    <w:rsid w:val="008F1B94"/>
    <w:rPr>
      <w:rFonts w:ascii="宋体" w:eastAsia="宋体" w:cs="宋体"/>
      <w:color w:val="000000"/>
      <w:sz w:val="21"/>
      <w:szCs w:val="21"/>
    </w:rPr>
  </w:style>
  <w:style w:type="character" w:customStyle="1" w:styleId="10">
    <w:name w:val="标题 1 字符"/>
    <w:basedOn w:val="a0"/>
    <w:link w:val="1"/>
    <w:uiPriority w:val="9"/>
    <w:rsid w:val="00811263"/>
    <w:rPr>
      <w:rFonts w:ascii="Times New Roman" w:eastAsia="宋体" w:hAnsi="Times New Roman" w:cstheme="majorBidi"/>
      <w:b/>
      <w:sz w:val="28"/>
      <w:szCs w:val="32"/>
    </w:rPr>
  </w:style>
  <w:style w:type="paragraph" w:styleId="TOC">
    <w:name w:val="TOC Heading"/>
    <w:basedOn w:val="1"/>
    <w:next w:val="a"/>
    <w:uiPriority w:val="39"/>
    <w:unhideWhenUsed/>
    <w:qFormat/>
    <w:rsid w:val="00811263"/>
    <w:pPr>
      <w:keepNext/>
      <w:keepLines/>
      <w:pageBreakBefore w:val="0"/>
      <w:widowControl/>
      <w:spacing w:after="0" w:line="259" w:lineRule="auto"/>
      <w:jc w:val="left"/>
      <w:outlineLvl w:val="9"/>
    </w:pPr>
    <w:rPr>
      <w:rFonts w:asciiTheme="majorHAnsi" w:hAnsiTheme="majorHAnsi"/>
      <w:b w:val="0"/>
      <w:color w:val="2F5496" w:themeColor="accent1" w:themeShade="BF"/>
      <w:sz w:val="32"/>
    </w:rPr>
  </w:style>
  <w:style w:type="paragraph" w:styleId="TOC1">
    <w:name w:val="toc 1"/>
    <w:basedOn w:val="a"/>
    <w:next w:val="a"/>
    <w:autoRedefine/>
    <w:uiPriority w:val="39"/>
    <w:unhideWhenUsed/>
    <w:rsid w:val="00811263"/>
    <w:pPr>
      <w:spacing w:after="100"/>
    </w:pPr>
  </w:style>
  <w:style w:type="character" w:styleId="ae">
    <w:name w:val="Hyperlink"/>
    <w:basedOn w:val="a0"/>
    <w:uiPriority w:val="99"/>
    <w:unhideWhenUsed/>
    <w:rsid w:val="008112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4F632-C1D7-4456-AEEE-5144F569C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246</Words>
  <Characters>1407</Characters>
  <Application>Microsoft Office Word</Application>
  <DocSecurity>0</DocSecurity>
  <Lines>11</Lines>
  <Paragraphs>3</Paragraphs>
  <ScaleCrop>false</ScaleCrop>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伟</dc:creator>
  <cp:keywords/>
  <dc:description/>
  <cp:lastModifiedBy>lenovo</cp:lastModifiedBy>
  <cp:revision>2</cp:revision>
  <dcterms:created xsi:type="dcterms:W3CDTF">2021-09-06T03:30:00Z</dcterms:created>
  <dcterms:modified xsi:type="dcterms:W3CDTF">2021-09-06T03:30:00Z</dcterms:modified>
</cp:coreProperties>
</file>