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1B94" w:rsidRPr="00801714" w:rsidRDefault="008F1B94" w:rsidP="00811263">
      <w:pPr>
        <w:pStyle w:val="1"/>
      </w:pPr>
      <w:bookmarkStart w:id="0" w:name="_Toc81725061"/>
      <w:r w:rsidRPr="00801714">
        <w:rPr>
          <w:rFonts w:hint="eastAsia"/>
        </w:rPr>
        <w:t>华东师范大学硕士学位论文评阅与盲审办法</w:t>
      </w:r>
      <w:bookmarkEnd w:id="0"/>
    </w:p>
    <w:p w:rsidR="008F1B94" w:rsidRDefault="008F1B94" w:rsidP="00811263">
      <w:pPr>
        <w:pStyle w:val="a3"/>
        <w:widowControl w:val="0"/>
        <w:spacing w:before="60" w:after="60" w:line="300" w:lineRule="auto"/>
        <w:ind w:firstLineChars="200" w:firstLine="420"/>
        <w:rPr>
          <w:rFonts w:ascii="宋体" w:eastAsia="宋体" w:cs="宋体"/>
          <w:sz w:val="21"/>
          <w:szCs w:val="21"/>
        </w:rPr>
      </w:pP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为保障学位授予质量，根据《中华人民共和国学位条例》、《中华人民共和国学位条例暂行实施办法》、《教育部关于进一步规范和加强研究生培养管理的通知》（教研厅〔</w:t>
      </w:r>
      <w:r>
        <w:rPr>
          <w:rFonts w:ascii="宋体" w:eastAsia="宋体" w:cs="宋体"/>
          <w:sz w:val="21"/>
          <w:szCs w:val="21"/>
        </w:rPr>
        <w:t>2019</w:t>
      </w:r>
      <w:r>
        <w:rPr>
          <w:rFonts w:ascii="宋体" w:eastAsia="宋体" w:cs="宋体" w:hint="eastAsia"/>
          <w:sz w:val="21"/>
          <w:szCs w:val="21"/>
        </w:rPr>
        <w:t>〕</w:t>
      </w:r>
      <w:r>
        <w:rPr>
          <w:rFonts w:ascii="宋体" w:eastAsia="宋体" w:cs="宋体"/>
          <w:sz w:val="21"/>
          <w:szCs w:val="21"/>
        </w:rPr>
        <w:t>1</w:t>
      </w:r>
      <w:r>
        <w:rPr>
          <w:rFonts w:ascii="宋体" w:eastAsia="宋体" w:cs="宋体" w:hint="eastAsia"/>
          <w:sz w:val="21"/>
          <w:szCs w:val="21"/>
        </w:rPr>
        <w:t>号）、《华东师范大学学位授予工作细则》以及国务院学位委员会、教育部的相关规定，特制定本办法。本办法适用于学术型硕士学位申请者，专业型硕士学位论文评阅与盲审规定另行通知。</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我校的硕士学位论文评审分为两部分：论文评阅和论文盲审。</w:t>
      </w:r>
    </w:p>
    <w:p w:rsidR="008F1B94" w:rsidRPr="00472461" w:rsidRDefault="008F1B94" w:rsidP="00472461">
      <w:pPr>
        <w:pStyle w:val="a3"/>
        <w:widowControl w:val="0"/>
        <w:spacing w:before="120" w:after="120" w:line="300" w:lineRule="auto"/>
        <w:ind w:firstLineChars="200" w:firstLine="422"/>
        <w:rPr>
          <w:rStyle w:val="a9"/>
          <w:b/>
        </w:rPr>
      </w:pPr>
      <w:r w:rsidRPr="00472461">
        <w:rPr>
          <w:rStyle w:val="a9"/>
          <w:rFonts w:hint="eastAsia"/>
          <w:b/>
        </w:rPr>
        <w:t>一、论文评阅</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论文评阅由各学位评定分委员会、各培养单位组织。论文评阅人须经培养单位、学位评定分委员会审核确定，其中在职人员的评阅人还须经学位管理办公室审核。论文评阅人一经审核通过，原则上不能更换。</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每篇论文须聘请至少两位具有副高级或以上职称的同行专家担任评阅人，有条件的应尽量聘请校外专家。其中，在职人员申请学位必须有校外专家担任评阅人。评阅论文的寄送、评阅意见书的回收、评阅意见的汇总和反馈均由各培养单位指定秘书负责，硕士学位申请者本人不得参与。</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论文评阅人应对论文的科学性、严谨性和创造性写出详细的学术评语，供答辩委员会参考。在评阅时，可从如下几点阐述意见：（</w:t>
      </w:r>
      <w:r>
        <w:rPr>
          <w:rFonts w:ascii="宋体" w:eastAsia="宋体" w:cs="宋体"/>
          <w:sz w:val="21"/>
          <w:szCs w:val="21"/>
        </w:rPr>
        <w:t>1</w:t>
      </w:r>
      <w:r>
        <w:rPr>
          <w:rFonts w:ascii="宋体" w:eastAsia="宋体" w:cs="宋体" w:hint="eastAsia"/>
          <w:sz w:val="21"/>
          <w:szCs w:val="21"/>
        </w:rPr>
        <w:t>）论文是否理论联系实际，是否具有理论意义或实用价值，在哪一方面有新见解或创新；（</w:t>
      </w:r>
      <w:r>
        <w:rPr>
          <w:rFonts w:ascii="宋体" w:eastAsia="宋体" w:cs="宋体"/>
          <w:sz w:val="21"/>
          <w:szCs w:val="21"/>
        </w:rPr>
        <w:t>2</w:t>
      </w:r>
      <w:r>
        <w:rPr>
          <w:rFonts w:ascii="宋体" w:eastAsia="宋体" w:cs="宋体" w:hint="eastAsia"/>
          <w:sz w:val="21"/>
          <w:szCs w:val="21"/>
        </w:rPr>
        <w:t>）论据是否充分、可靠；（</w:t>
      </w:r>
      <w:r>
        <w:rPr>
          <w:rFonts w:ascii="宋体" w:eastAsia="宋体" w:cs="宋体"/>
          <w:sz w:val="21"/>
          <w:szCs w:val="21"/>
        </w:rPr>
        <w:t>3</w:t>
      </w:r>
      <w:r>
        <w:rPr>
          <w:rFonts w:ascii="宋体" w:eastAsia="宋体" w:cs="宋体" w:hint="eastAsia"/>
          <w:sz w:val="21"/>
          <w:szCs w:val="21"/>
        </w:rPr>
        <w:t>）反映基础理论、专业知识掌握程度；（</w:t>
      </w:r>
      <w:r>
        <w:rPr>
          <w:rFonts w:ascii="宋体" w:eastAsia="宋体" w:cs="宋体"/>
          <w:sz w:val="21"/>
          <w:szCs w:val="21"/>
        </w:rPr>
        <w:t>4</w:t>
      </w:r>
      <w:r>
        <w:rPr>
          <w:rFonts w:ascii="宋体" w:eastAsia="宋体" w:cs="宋体" w:hint="eastAsia"/>
          <w:sz w:val="21"/>
          <w:szCs w:val="21"/>
        </w:rPr>
        <w:t>）研究方法、写作水平；（</w:t>
      </w:r>
      <w:r>
        <w:rPr>
          <w:rFonts w:ascii="宋体" w:eastAsia="宋体" w:cs="宋体"/>
          <w:sz w:val="21"/>
          <w:szCs w:val="21"/>
        </w:rPr>
        <w:t>5</w:t>
      </w:r>
      <w:r>
        <w:rPr>
          <w:rFonts w:ascii="宋体" w:eastAsia="宋体" w:cs="宋体" w:hint="eastAsia"/>
          <w:sz w:val="21"/>
          <w:szCs w:val="21"/>
        </w:rPr>
        <w:t>）论文还存在的不足之处；（</w:t>
      </w:r>
      <w:r>
        <w:rPr>
          <w:rFonts w:ascii="宋体" w:eastAsia="宋体" w:cs="宋体"/>
          <w:sz w:val="21"/>
          <w:szCs w:val="21"/>
        </w:rPr>
        <w:t>6</w:t>
      </w:r>
      <w:r>
        <w:rPr>
          <w:rFonts w:ascii="宋体" w:eastAsia="宋体" w:cs="宋体" w:hint="eastAsia"/>
          <w:sz w:val="21"/>
          <w:szCs w:val="21"/>
        </w:rPr>
        <w:t>）是否同意答辩，是否达到该生所申请学位的学术水平。</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论文评阅结果的认定和处理参照论文盲审的规定。</w:t>
      </w:r>
    </w:p>
    <w:p w:rsidR="008F1B94" w:rsidRPr="00472461" w:rsidRDefault="008F1B94" w:rsidP="00472461">
      <w:pPr>
        <w:pStyle w:val="a3"/>
        <w:widowControl w:val="0"/>
        <w:spacing w:before="120" w:after="120" w:line="300" w:lineRule="auto"/>
        <w:ind w:firstLineChars="200" w:firstLine="422"/>
        <w:rPr>
          <w:rStyle w:val="a9"/>
          <w:b/>
        </w:rPr>
      </w:pPr>
      <w:r w:rsidRPr="00472461">
        <w:rPr>
          <w:rStyle w:val="a9"/>
          <w:rFonts w:hint="eastAsia"/>
          <w:b/>
        </w:rPr>
        <w:t>二、论文盲审</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硕士学位论文盲审由学校学位管理办公室组织，对拟答辩的硕士学位论文实行“双盲评审”制度。即在论文送审时，对评审专家隐匿论文作者姓名及其导师姓名，对被评审者隐匿评审专家姓名、所在单位等信息。</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硕士学位申请者进行学位论文答辩、评阅前，学校将对各学科抽取部分或全部论文进行“双盲评审”。具体抽检比例由学位管理办公室与培养单位协商确定。</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送交盲审的学位论文必须是一篇经导师审核确认的已经完稿的论文，论文提交盲审系统后不可撤回。</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每个被抽中盲审的学生送审</w:t>
      </w:r>
      <w:r>
        <w:rPr>
          <w:rFonts w:ascii="宋体" w:eastAsia="宋体" w:cs="宋体"/>
          <w:sz w:val="21"/>
          <w:szCs w:val="21"/>
        </w:rPr>
        <w:t>1</w:t>
      </w:r>
      <w:r>
        <w:rPr>
          <w:rFonts w:ascii="宋体" w:eastAsia="宋体" w:cs="宋体" w:hint="eastAsia"/>
          <w:sz w:val="21"/>
          <w:szCs w:val="21"/>
        </w:rPr>
        <w:t>至</w:t>
      </w:r>
      <w:r>
        <w:rPr>
          <w:rFonts w:ascii="宋体" w:eastAsia="宋体" w:cs="宋体"/>
          <w:sz w:val="21"/>
          <w:szCs w:val="21"/>
        </w:rPr>
        <w:t>3</w:t>
      </w:r>
      <w:r>
        <w:rPr>
          <w:rFonts w:ascii="宋体" w:eastAsia="宋体" w:cs="宋体" w:hint="eastAsia"/>
          <w:sz w:val="21"/>
          <w:szCs w:val="21"/>
        </w:rPr>
        <w:t>份，具体送审份数在每次盲审通知下发时确定。</w:t>
      </w:r>
    </w:p>
    <w:p w:rsidR="008F1B94" w:rsidRPr="00472461" w:rsidRDefault="008F1B94" w:rsidP="00472461">
      <w:pPr>
        <w:pStyle w:val="a3"/>
        <w:widowControl w:val="0"/>
        <w:spacing w:before="120" w:after="120" w:line="300" w:lineRule="auto"/>
        <w:ind w:firstLineChars="200" w:firstLine="422"/>
        <w:rPr>
          <w:rStyle w:val="a9"/>
          <w:b/>
        </w:rPr>
      </w:pPr>
      <w:r w:rsidRPr="00472461">
        <w:rPr>
          <w:rStyle w:val="a9"/>
          <w:rFonts w:hint="eastAsia"/>
          <w:b/>
        </w:rPr>
        <w:lastRenderedPageBreak/>
        <w:t>三、评审期和逾期</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评审时限一般</w:t>
      </w:r>
      <w:r>
        <w:rPr>
          <w:rFonts w:ascii="宋体" w:eastAsia="宋体" w:cs="宋体"/>
          <w:sz w:val="21"/>
          <w:szCs w:val="21"/>
        </w:rPr>
        <w:t>30</w:t>
      </w:r>
      <w:r>
        <w:rPr>
          <w:rFonts w:ascii="宋体" w:eastAsia="宋体" w:cs="宋体" w:hint="eastAsia"/>
          <w:sz w:val="21"/>
          <w:szCs w:val="21"/>
        </w:rPr>
        <w:t>天（自论文提交评审并送出之日起至论文评审意见返回当天）。超过评审期的论文</w:t>
      </w:r>
      <w:r>
        <w:rPr>
          <w:rFonts w:ascii="宋体" w:eastAsia="宋体" w:cs="宋体"/>
          <w:sz w:val="21"/>
          <w:szCs w:val="21"/>
        </w:rPr>
        <w:t>,</w:t>
      </w:r>
      <w:r>
        <w:rPr>
          <w:rFonts w:ascii="宋体" w:eastAsia="宋体" w:cs="宋体" w:hint="eastAsia"/>
          <w:sz w:val="21"/>
          <w:szCs w:val="21"/>
        </w:rPr>
        <w:t>该份评审意见视为逾期通过。评审逾期，可组织论文答辩，但逾期返回的评审意见仍将如实提交答辩委员会、学位评定分委员会和学位评定委员会，供论文答辩和学位审查参考。</w:t>
      </w:r>
    </w:p>
    <w:p w:rsidR="008F1B94" w:rsidRPr="00472461" w:rsidRDefault="008F1B94" w:rsidP="00472461">
      <w:pPr>
        <w:pStyle w:val="a3"/>
        <w:widowControl w:val="0"/>
        <w:spacing w:before="120" w:after="120" w:line="300" w:lineRule="auto"/>
        <w:ind w:firstLineChars="200" w:firstLine="422"/>
        <w:rPr>
          <w:rStyle w:val="a9"/>
          <w:b/>
        </w:rPr>
      </w:pPr>
      <w:r w:rsidRPr="00472461">
        <w:rPr>
          <w:rStyle w:val="a9"/>
          <w:rFonts w:hint="eastAsia"/>
          <w:b/>
        </w:rPr>
        <w:t>四、评审成绩结构</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评审成绩由四个分项指标（评价要素分为人文社科和理工科两类）和评审结论两部分组成。四个分项指标的评价等级仅供研究生和导师完善论文时参考，每份评阅意见以专家给出的评审结论为准。具体见下表。</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分项指标的评价等级分</w:t>
      </w:r>
      <w:r>
        <w:rPr>
          <w:rFonts w:ascii="宋体" w:eastAsia="宋体" w:cs="宋体"/>
          <w:sz w:val="21"/>
          <w:szCs w:val="21"/>
        </w:rPr>
        <w:t>A</w:t>
      </w:r>
      <w:r>
        <w:rPr>
          <w:rFonts w:ascii="宋体" w:eastAsia="宋体" w:cs="宋体" w:hint="eastAsia"/>
          <w:sz w:val="21"/>
          <w:szCs w:val="21"/>
        </w:rPr>
        <w:t>（优）、</w:t>
      </w:r>
      <w:r>
        <w:rPr>
          <w:rFonts w:ascii="宋体" w:eastAsia="宋体" w:cs="宋体"/>
          <w:sz w:val="21"/>
          <w:szCs w:val="21"/>
        </w:rPr>
        <w:t>B</w:t>
      </w:r>
      <w:r>
        <w:rPr>
          <w:rFonts w:ascii="宋体" w:eastAsia="宋体" w:cs="宋体" w:hint="eastAsia"/>
          <w:sz w:val="21"/>
          <w:szCs w:val="21"/>
        </w:rPr>
        <w:t>（良）、</w:t>
      </w:r>
      <w:r>
        <w:rPr>
          <w:rFonts w:ascii="宋体" w:eastAsia="宋体" w:cs="宋体"/>
          <w:sz w:val="21"/>
          <w:szCs w:val="21"/>
        </w:rPr>
        <w:t>C</w:t>
      </w:r>
      <w:r>
        <w:rPr>
          <w:rFonts w:ascii="宋体" w:eastAsia="宋体" w:cs="宋体" w:hint="eastAsia"/>
          <w:sz w:val="21"/>
          <w:szCs w:val="21"/>
        </w:rPr>
        <w:t>（中）、</w:t>
      </w:r>
      <w:r>
        <w:rPr>
          <w:rFonts w:ascii="宋体" w:eastAsia="宋体" w:cs="宋体"/>
          <w:sz w:val="21"/>
          <w:szCs w:val="21"/>
        </w:rPr>
        <w:t>D</w:t>
      </w:r>
      <w:r>
        <w:rPr>
          <w:rFonts w:ascii="宋体" w:eastAsia="宋体" w:cs="宋体" w:hint="eastAsia"/>
          <w:sz w:val="21"/>
          <w:szCs w:val="21"/>
        </w:rPr>
        <w:t>（差）四个等级。</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评审结论有四种：</w:t>
      </w:r>
      <w:r>
        <w:rPr>
          <w:rFonts w:ascii="宋体" w:eastAsia="宋体" w:cs="宋体"/>
          <w:sz w:val="21"/>
          <w:szCs w:val="21"/>
        </w:rPr>
        <w:t>1.</w:t>
      </w:r>
      <w:r>
        <w:rPr>
          <w:rFonts w:ascii="宋体" w:eastAsia="宋体" w:cs="宋体" w:hint="eastAsia"/>
          <w:sz w:val="21"/>
          <w:szCs w:val="21"/>
        </w:rPr>
        <w:t>同意论文答辩；</w:t>
      </w:r>
      <w:r>
        <w:rPr>
          <w:rFonts w:ascii="宋体" w:eastAsia="宋体" w:cs="宋体"/>
          <w:sz w:val="21"/>
          <w:szCs w:val="21"/>
        </w:rPr>
        <w:t xml:space="preserve">2. </w:t>
      </w:r>
      <w:r>
        <w:rPr>
          <w:rFonts w:ascii="宋体" w:eastAsia="宋体" w:cs="宋体" w:hint="eastAsia"/>
          <w:sz w:val="21"/>
          <w:szCs w:val="21"/>
        </w:rPr>
        <w:t>同意稍作修改直接答辩；</w:t>
      </w:r>
      <w:r>
        <w:rPr>
          <w:rFonts w:ascii="宋体" w:eastAsia="宋体" w:cs="宋体"/>
          <w:sz w:val="21"/>
          <w:szCs w:val="21"/>
        </w:rPr>
        <w:t>3.</w:t>
      </w:r>
      <w:r>
        <w:rPr>
          <w:rFonts w:ascii="宋体" w:eastAsia="宋体" w:cs="宋体" w:hint="eastAsia"/>
          <w:sz w:val="21"/>
          <w:szCs w:val="21"/>
        </w:rPr>
        <w:t>建议作大幅度修改（需另行送审）；</w:t>
      </w:r>
      <w:r>
        <w:rPr>
          <w:rFonts w:ascii="宋体" w:eastAsia="宋体" w:cs="宋体"/>
          <w:sz w:val="21"/>
          <w:szCs w:val="21"/>
        </w:rPr>
        <w:t>4.</w:t>
      </w:r>
      <w:r>
        <w:rPr>
          <w:rFonts w:ascii="宋体" w:eastAsia="宋体" w:cs="宋体" w:hint="eastAsia"/>
          <w:sz w:val="21"/>
          <w:szCs w:val="21"/>
        </w:rPr>
        <w:t>不同意进行论文答辩。</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p>
    <w:tbl>
      <w:tblPr>
        <w:tblStyle w:val="ab"/>
        <w:tblW w:w="0" w:type="auto"/>
        <w:tblLook w:val="04A0" w:firstRow="1" w:lastRow="0" w:firstColumn="1" w:lastColumn="0" w:noHBand="0" w:noVBand="1"/>
      </w:tblPr>
      <w:tblGrid>
        <w:gridCol w:w="1165"/>
        <w:gridCol w:w="2799"/>
        <w:gridCol w:w="2552"/>
        <w:gridCol w:w="425"/>
        <w:gridCol w:w="425"/>
        <w:gridCol w:w="426"/>
        <w:gridCol w:w="363"/>
      </w:tblGrid>
      <w:tr w:rsidR="008F1B94" w:rsidTr="00CE6CC8">
        <w:tc>
          <w:tcPr>
            <w:tcW w:w="8155" w:type="dxa"/>
            <w:gridSpan w:val="7"/>
          </w:tcPr>
          <w:p w:rsidR="008F1B94" w:rsidRPr="004B30A0" w:rsidRDefault="008F1B94" w:rsidP="00811263">
            <w:pPr>
              <w:pStyle w:val="a3"/>
              <w:widowControl w:val="0"/>
              <w:spacing w:before="60" w:after="60" w:line="300" w:lineRule="auto"/>
              <w:rPr>
                <w:rStyle w:val="a9"/>
                <w:b/>
              </w:rPr>
            </w:pPr>
            <w:r w:rsidRPr="004B30A0">
              <w:rPr>
                <w:rStyle w:val="ad"/>
                <w:rFonts w:hint="eastAsia"/>
                <w:b/>
              </w:rPr>
              <w:t>请对下列指标作出评价（打√：</w:t>
            </w:r>
            <w:r w:rsidRPr="004B30A0">
              <w:rPr>
                <w:rStyle w:val="ad"/>
                <w:b/>
              </w:rPr>
              <w:t xml:space="preserve"> A</w:t>
            </w:r>
            <w:r w:rsidRPr="004B30A0">
              <w:rPr>
                <w:rStyle w:val="ad"/>
                <w:rFonts w:hint="eastAsia"/>
                <w:b/>
              </w:rPr>
              <w:t>—优，</w:t>
            </w:r>
            <w:r w:rsidRPr="004B30A0">
              <w:rPr>
                <w:rStyle w:val="ad"/>
                <w:b/>
              </w:rPr>
              <w:t>B</w:t>
            </w:r>
            <w:r w:rsidRPr="004B30A0">
              <w:rPr>
                <w:rStyle w:val="ad"/>
                <w:rFonts w:hint="eastAsia"/>
                <w:b/>
              </w:rPr>
              <w:t>—良，</w:t>
            </w:r>
            <w:r w:rsidRPr="004B30A0">
              <w:rPr>
                <w:rStyle w:val="ad"/>
                <w:b/>
              </w:rPr>
              <w:t>C</w:t>
            </w:r>
            <w:r w:rsidRPr="004B30A0">
              <w:rPr>
                <w:rStyle w:val="ad"/>
                <w:rFonts w:hint="eastAsia"/>
                <w:b/>
              </w:rPr>
              <w:t>—中，</w:t>
            </w:r>
            <w:r w:rsidRPr="004B30A0">
              <w:rPr>
                <w:rStyle w:val="ad"/>
                <w:b/>
              </w:rPr>
              <w:t>D</w:t>
            </w:r>
            <w:r w:rsidRPr="004B30A0">
              <w:rPr>
                <w:rStyle w:val="ad"/>
                <w:rFonts w:hint="eastAsia"/>
                <w:b/>
              </w:rPr>
              <w:t>—差）</w:t>
            </w:r>
          </w:p>
        </w:tc>
      </w:tr>
      <w:tr w:rsidR="008F1B94" w:rsidTr="004B30A0">
        <w:tc>
          <w:tcPr>
            <w:tcW w:w="1165" w:type="dxa"/>
            <w:vMerge w:val="restart"/>
            <w:vAlign w:val="center"/>
          </w:tcPr>
          <w:p w:rsidR="008F1B94" w:rsidRPr="004B30A0" w:rsidRDefault="008F1B94" w:rsidP="004B30A0">
            <w:pPr>
              <w:pStyle w:val="a3"/>
              <w:widowControl w:val="0"/>
              <w:spacing w:before="60" w:after="60" w:line="300" w:lineRule="auto"/>
              <w:jc w:val="center"/>
              <w:rPr>
                <w:rStyle w:val="ad"/>
                <w:b/>
              </w:rPr>
            </w:pPr>
            <w:r w:rsidRPr="004B30A0">
              <w:rPr>
                <w:rStyle w:val="ad"/>
                <w:rFonts w:hint="eastAsia"/>
                <w:b/>
              </w:rPr>
              <w:t>分项评价</w:t>
            </w:r>
          </w:p>
          <w:p w:rsidR="008F1B94" w:rsidRDefault="008F1B94" w:rsidP="004B30A0">
            <w:pPr>
              <w:pStyle w:val="a3"/>
              <w:widowControl w:val="0"/>
              <w:spacing w:before="60" w:after="60" w:line="300" w:lineRule="auto"/>
              <w:jc w:val="center"/>
            </w:pPr>
            <w:r w:rsidRPr="004B30A0">
              <w:rPr>
                <w:rStyle w:val="ad"/>
                <w:rFonts w:hint="eastAsia"/>
                <w:b/>
              </w:rPr>
              <w:t>指标</w:t>
            </w:r>
          </w:p>
        </w:tc>
        <w:tc>
          <w:tcPr>
            <w:tcW w:w="5351" w:type="dxa"/>
            <w:gridSpan w:val="2"/>
            <w:vMerge w:val="restart"/>
            <w:vAlign w:val="center"/>
          </w:tcPr>
          <w:p w:rsidR="008F1B94" w:rsidRPr="004B30A0" w:rsidRDefault="008F1B94" w:rsidP="004B30A0">
            <w:pPr>
              <w:pStyle w:val="a3"/>
              <w:widowControl w:val="0"/>
              <w:spacing w:before="60" w:after="60" w:line="300" w:lineRule="auto"/>
              <w:jc w:val="center"/>
              <w:rPr>
                <w:rStyle w:val="a9"/>
                <w:b/>
              </w:rPr>
            </w:pPr>
            <w:bookmarkStart w:id="1" w:name="_GoBack"/>
            <w:r w:rsidRPr="004B30A0">
              <w:rPr>
                <w:rStyle w:val="a9"/>
                <w:rFonts w:hint="eastAsia"/>
                <w:b/>
              </w:rPr>
              <w:t>评价要素</w:t>
            </w:r>
            <w:bookmarkEnd w:id="1"/>
          </w:p>
        </w:tc>
        <w:tc>
          <w:tcPr>
            <w:tcW w:w="1639" w:type="dxa"/>
            <w:gridSpan w:val="4"/>
          </w:tcPr>
          <w:p w:rsidR="008F1B94" w:rsidRPr="004B30A0" w:rsidRDefault="008F1B94" w:rsidP="004B30A0">
            <w:pPr>
              <w:pStyle w:val="a3"/>
              <w:widowControl w:val="0"/>
              <w:spacing w:before="60" w:after="60" w:line="300" w:lineRule="auto"/>
              <w:jc w:val="center"/>
              <w:rPr>
                <w:rStyle w:val="a9"/>
                <w:b/>
              </w:rPr>
            </w:pPr>
            <w:r w:rsidRPr="004B30A0">
              <w:rPr>
                <w:rStyle w:val="a9"/>
                <w:rFonts w:hint="eastAsia"/>
                <w:b/>
              </w:rPr>
              <w:t>评价等级</w:t>
            </w:r>
          </w:p>
        </w:tc>
      </w:tr>
      <w:tr w:rsidR="008F1B94" w:rsidTr="00CE6CC8">
        <w:trPr>
          <w:trHeight w:val="393"/>
        </w:trPr>
        <w:tc>
          <w:tcPr>
            <w:tcW w:w="1165" w:type="dxa"/>
            <w:vMerge/>
          </w:tcPr>
          <w:p w:rsidR="008F1B94" w:rsidRDefault="008F1B94" w:rsidP="004B30A0">
            <w:pPr>
              <w:pStyle w:val="a3"/>
              <w:widowControl w:val="0"/>
              <w:spacing w:before="60" w:after="60" w:line="300" w:lineRule="auto"/>
              <w:jc w:val="center"/>
              <w:rPr>
                <w:rStyle w:val="a9"/>
                <w:b/>
              </w:rPr>
            </w:pPr>
          </w:p>
        </w:tc>
        <w:tc>
          <w:tcPr>
            <w:tcW w:w="5351" w:type="dxa"/>
            <w:gridSpan w:val="2"/>
            <w:vMerge/>
          </w:tcPr>
          <w:p w:rsidR="008F1B94" w:rsidRPr="004B30A0" w:rsidRDefault="008F1B94" w:rsidP="004B30A0">
            <w:pPr>
              <w:pStyle w:val="a3"/>
              <w:widowControl w:val="0"/>
              <w:spacing w:before="60" w:after="60" w:line="300" w:lineRule="auto"/>
              <w:jc w:val="center"/>
              <w:rPr>
                <w:rStyle w:val="a9"/>
                <w:b/>
              </w:rPr>
            </w:pPr>
          </w:p>
        </w:tc>
        <w:tc>
          <w:tcPr>
            <w:tcW w:w="425" w:type="dxa"/>
            <w:vAlign w:val="center"/>
          </w:tcPr>
          <w:p w:rsidR="008F1B94" w:rsidRPr="004B30A0" w:rsidRDefault="008F1B94" w:rsidP="004B30A0">
            <w:pPr>
              <w:pStyle w:val="a3"/>
              <w:widowControl w:val="0"/>
              <w:spacing w:before="60" w:after="60" w:line="300" w:lineRule="auto"/>
              <w:jc w:val="center"/>
              <w:rPr>
                <w:b/>
              </w:rPr>
            </w:pPr>
            <w:r w:rsidRPr="004B30A0">
              <w:rPr>
                <w:rStyle w:val="a9"/>
                <w:b/>
              </w:rPr>
              <w:t>A</w:t>
            </w:r>
          </w:p>
        </w:tc>
        <w:tc>
          <w:tcPr>
            <w:tcW w:w="425" w:type="dxa"/>
            <w:vAlign w:val="center"/>
          </w:tcPr>
          <w:p w:rsidR="008F1B94" w:rsidRPr="004B30A0" w:rsidRDefault="008F1B94" w:rsidP="004B30A0">
            <w:pPr>
              <w:pStyle w:val="a3"/>
              <w:widowControl w:val="0"/>
              <w:spacing w:before="60" w:after="60" w:line="300" w:lineRule="auto"/>
              <w:jc w:val="center"/>
              <w:rPr>
                <w:b/>
              </w:rPr>
            </w:pPr>
            <w:r w:rsidRPr="004B30A0">
              <w:rPr>
                <w:rStyle w:val="a9"/>
                <w:b/>
              </w:rPr>
              <w:t>B</w:t>
            </w:r>
          </w:p>
        </w:tc>
        <w:tc>
          <w:tcPr>
            <w:tcW w:w="426" w:type="dxa"/>
            <w:vAlign w:val="center"/>
          </w:tcPr>
          <w:p w:rsidR="008F1B94" w:rsidRPr="004B30A0" w:rsidRDefault="008F1B94" w:rsidP="004B30A0">
            <w:pPr>
              <w:pStyle w:val="a3"/>
              <w:widowControl w:val="0"/>
              <w:spacing w:before="60" w:after="60" w:line="300" w:lineRule="auto"/>
              <w:jc w:val="center"/>
              <w:rPr>
                <w:b/>
              </w:rPr>
            </w:pPr>
            <w:r w:rsidRPr="004B30A0">
              <w:rPr>
                <w:rStyle w:val="a9"/>
                <w:b/>
              </w:rPr>
              <w:t>C</w:t>
            </w:r>
          </w:p>
        </w:tc>
        <w:tc>
          <w:tcPr>
            <w:tcW w:w="363" w:type="dxa"/>
            <w:vAlign w:val="center"/>
          </w:tcPr>
          <w:p w:rsidR="008F1B94" w:rsidRPr="004B30A0" w:rsidRDefault="008F1B94" w:rsidP="004B30A0">
            <w:pPr>
              <w:pStyle w:val="a3"/>
              <w:widowControl w:val="0"/>
              <w:spacing w:before="60" w:after="60" w:line="300" w:lineRule="auto"/>
              <w:jc w:val="center"/>
              <w:rPr>
                <w:b/>
              </w:rPr>
            </w:pPr>
            <w:r w:rsidRPr="004B30A0">
              <w:rPr>
                <w:rStyle w:val="a9"/>
                <w:b/>
              </w:rPr>
              <w:t>D</w:t>
            </w:r>
          </w:p>
        </w:tc>
      </w:tr>
      <w:tr w:rsidR="008F1B94" w:rsidTr="00CE6CC8">
        <w:tc>
          <w:tcPr>
            <w:tcW w:w="1165" w:type="dxa"/>
            <w:vAlign w:val="center"/>
          </w:tcPr>
          <w:p w:rsidR="008F1B94" w:rsidRPr="004B30A0" w:rsidRDefault="008F1B94" w:rsidP="004B30A0">
            <w:pPr>
              <w:pStyle w:val="a3"/>
              <w:widowControl w:val="0"/>
              <w:spacing w:before="60" w:after="60" w:line="300" w:lineRule="auto"/>
              <w:jc w:val="center"/>
              <w:rPr>
                <w:rStyle w:val="ad"/>
                <w:b/>
              </w:rPr>
            </w:pPr>
            <w:r w:rsidRPr="004B30A0">
              <w:rPr>
                <w:rStyle w:val="ad"/>
                <w:rFonts w:hint="eastAsia"/>
                <w:b/>
              </w:rPr>
              <w:t>选题</w:t>
            </w:r>
          </w:p>
          <w:p w:rsidR="008F1B94" w:rsidRPr="004B30A0" w:rsidRDefault="008F1B94" w:rsidP="004B30A0">
            <w:pPr>
              <w:pStyle w:val="a3"/>
              <w:widowControl w:val="0"/>
              <w:spacing w:before="60" w:after="60" w:line="300" w:lineRule="auto"/>
              <w:jc w:val="center"/>
              <w:rPr>
                <w:b/>
              </w:rPr>
            </w:pPr>
            <w:r w:rsidRPr="004B30A0">
              <w:rPr>
                <w:rStyle w:val="ad"/>
                <w:rFonts w:hint="eastAsia"/>
                <w:b/>
              </w:rPr>
              <w:t>与综述</w:t>
            </w:r>
          </w:p>
        </w:tc>
        <w:tc>
          <w:tcPr>
            <w:tcW w:w="2799" w:type="dxa"/>
            <w:vAlign w:val="center"/>
          </w:tcPr>
          <w:p w:rsidR="008F1B94" w:rsidRDefault="008F1B94" w:rsidP="00811263">
            <w:pPr>
              <w:pStyle w:val="a3"/>
              <w:widowControl w:val="0"/>
              <w:spacing w:before="60" w:after="60" w:line="300" w:lineRule="auto"/>
            </w:pPr>
            <w:r w:rsidRPr="004B30A0">
              <w:rPr>
                <w:rStyle w:val="ac"/>
                <w:rFonts w:cs="宋体" w:hint="eastAsia"/>
                <w:b/>
              </w:rPr>
              <w:t>人文社科：</w:t>
            </w:r>
            <w:r>
              <w:rPr>
                <w:rFonts w:cs="宋体" w:hint="eastAsia"/>
                <w:sz w:val="21"/>
                <w:szCs w:val="21"/>
              </w:rPr>
              <w:t>选题的前沿性和开创性，对推动学科发展的意义；研究的理论意义、现实意义；对国内外该选题及相关领域发展状况的归纳总结和评价情况。</w:t>
            </w:r>
          </w:p>
        </w:tc>
        <w:tc>
          <w:tcPr>
            <w:tcW w:w="2552" w:type="dxa"/>
            <w:vAlign w:val="center"/>
          </w:tcPr>
          <w:p w:rsidR="008F1B94" w:rsidRDefault="008F1B94" w:rsidP="00811263">
            <w:pPr>
              <w:pStyle w:val="a3"/>
              <w:widowControl w:val="0"/>
              <w:spacing w:before="60" w:after="60" w:line="300" w:lineRule="auto"/>
            </w:pPr>
            <w:r w:rsidRPr="004B30A0">
              <w:rPr>
                <w:rStyle w:val="ac"/>
                <w:rFonts w:cs="宋体" w:hint="eastAsia"/>
                <w:b/>
              </w:rPr>
              <w:t>理工科：</w:t>
            </w:r>
            <w:r>
              <w:rPr>
                <w:rFonts w:cs="宋体" w:hint="eastAsia"/>
                <w:sz w:val="21"/>
                <w:szCs w:val="21"/>
              </w:rPr>
              <w:t>选题的前沿性和开创性；研究的理论意义、现实意义；对国内外该选题及相关领域发展状况的归纳总结和评价情况。</w:t>
            </w:r>
          </w:p>
        </w:tc>
        <w:tc>
          <w:tcPr>
            <w:tcW w:w="425" w:type="dxa"/>
          </w:tcPr>
          <w:p w:rsidR="008F1B94" w:rsidRDefault="008F1B94" w:rsidP="00811263">
            <w:pPr>
              <w:pStyle w:val="a3"/>
              <w:widowControl w:val="0"/>
              <w:spacing w:before="60" w:after="60" w:line="300" w:lineRule="auto"/>
              <w:rPr>
                <w:rStyle w:val="a9"/>
                <w:b/>
              </w:rPr>
            </w:pPr>
          </w:p>
        </w:tc>
        <w:tc>
          <w:tcPr>
            <w:tcW w:w="425" w:type="dxa"/>
          </w:tcPr>
          <w:p w:rsidR="008F1B94" w:rsidRDefault="008F1B94" w:rsidP="00811263">
            <w:pPr>
              <w:pStyle w:val="a3"/>
              <w:widowControl w:val="0"/>
              <w:spacing w:before="60" w:after="60" w:line="300" w:lineRule="auto"/>
              <w:rPr>
                <w:rStyle w:val="a9"/>
                <w:b/>
              </w:rPr>
            </w:pPr>
          </w:p>
        </w:tc>
        <w:tc>
          <w:tcPr>
            <w:tcW w:w="426" w:type="dxa"/>
          </w:tcPr>
          <w:p w:rsidR="008F1B94" w:rsidRDefault="008F1B94" w:rsidP="00811263">
            <w:pPr>
              <w:pStyle w:val="a3"/>
              <w:widowControl w:val="0"/>
              <w:spacing w:before="60" w:after="60" w:line="300" w:lineRule="auto"/>
              <w:rPr>
                <w:rStyle w:val="a9"/>
                <w:b/>
              </w:rPr>
            </w:pPr>
          </w:p>
        </w:tc>
        <w:tc>
          <w:tcPr>
            <w:tcW w:w="363" w:type="dxa"/>
          </w:tcPr>
          <w:p w:rsidR="008F1B94" w:rsidRDefault="008F1B94" w:rsidP="00811263">
            <w:pPr>
              <w:pStyle w:val="a3"/>
              <w:widowControl w:val="0"/>
              <w:spacing w:before="60" w:after="60" w:line="300" w:lineRule="auto"/>
              <w:rPr>
                <w:rStyle w:val="a9"/>
                <w:b/>
              </w:rPr>
            </w:pPr>
          </w:p>
        </w:tc>
      </w:tr>
      <w:tr w:rsidR="008F1B94" w:rsidTr="00CE6CC8">
        <w:tc>
          <w:tcPr>
            <w:tcW w:w="1165" w:type="dxa"/>
            <w:vAlign w:val="center"/>
          </w:tcPr>
          <w:p w:rsidR="008F1B94" w:rsidRPr="004B30A0" w:rsidRDefault="008F1B94" w:rsidP="004B30A0">
            <w:pPr>
              <w:pStyle w:val="a3"/>
              <w:widowControl w:val="0"/>
              <w:spacing w:before="60" w:after="60" w:line="300" w:lineRule="auto"/>
              <w:jc w:val="center"/>
              <w:rPr>
                <w:rStyle w:val="ad"/>
                <w:b/>
              </w:rPr>
            </w:pPr>
            <w:r w:rsidRPr="004B30A0">
              <w:rPr>
                <w:rStyle w:val="ad"/>
                <w:rFonts w:hint="eastAsia"/>
                <w:b/>
              </w:rPr>
              <w:t>创新性</w:t>
            </w:r>
          </w:p>
          <w:p w:rsidR="008F1B94" w:rsidRPr="004B30A0" w:rsidRDefault="008F1B94" w:rsidP="004B30A0">
            <w:pPr>
              <w:pStyle w:val="a3"/>
              <w:widowControl w:val="0"/>
              <w:spacing w:before="60" w:after="60" w:line="300" w:lineRule="auto"/>
              <w:jc w:val="center"/>
              <w:rPr>
                <w:b/>
              </w:rPr>
            </w:pPr>
            <w:r w:rsidRPr="004B30A0">
              <w:rPr>
                <w:rStyle w:val="ad"/>
                <w:rFonts w:hint="eastAsia"/>
                <w:b/>
              </w:rPr>
              <w:t>及论文价值</w:t>
            </w:r>
          </w:p>
        </w:tc>
        <w:tc>
          <w:tcPr>
            <w:tcW w:w="2799" w:type="dxa"/>
            <w:vAlign w:val="center"/>
          </w:tcPr>
          <w:p w:rsidR="008F1B94" w:rsidRDefault="008F1B94" w:rsidP="00811263">
            <w:pPr>
              <w:pStyle w:val="a3"/>
              <w:widowControl w:val="0"/>
              <w:spacing w:before="60" w:after="60" w:line="300" w:lineRule="auto"/>
            </w:pPr>
            <w:r w:rsidRPr="004B30A0">
              <w:rPr>
                <w:rStyle w:val="ac"/>
                <w:rFonts w:cs="宋体" w:hint="eastAsia"/>
                <w:b/>
              </w:rPr>
              <w:t>人文社科：</w:t>
            </w:r>
            <w:r>
              <w:rPr>
                <w:rFonts w:cs="宋体" w:hint="eastAsia"/>
                <w:sz w:val="21"/>
                <w:szCs w:val="21"/>
              </w:rPr>
              <w:t>对学科专业发展的贡献，对有价值现象的探索，新命题、新方法的提出，新材料的运用；对解决社会发展的重要理论问题和现实问题的作用；论文及成果对文化事业的发展和社会进步的影响和贡献。</w:t>
            </w:r>
          </w:p>
        </w:tc>
        <w:tc>
          <w:tcPr>
            <w:tcW w:w="2552" w:type="dxa"/>
            <w:vAlign w:val="center"/>
          </w:tcPr>
          <w:p w:rsidR="008F1B94" w:rsidRDefault="008F1B94" w:rsidP="00811263">
            <w:pPr>
              <w:pStyle w:val="a3"/>
              <w:widowControl w:val="0"/>
              <w:spacing w:before="60" w:after="60" w:line="300" w:lineRule="auto"/>
            </w:pPr>
            <w:r w:rsidRPr="004B30A0">
              <w:rPr>
                <w:rStyle w:val="ac"/>
                <w:rFonts w:cs="宋体" w:hint="eastAsia"/>
                <w:b/>
              </w:rPr>
              <w:t>理工科：</w:t>
            </w:r>
            <w:r>
              <w:rPr>
                <w:rFonts w:cs="宋体" w:hint="eastAsia"/>
                <w:sz w:val="21"/>
                <w:szCs w:val="21"/>
              </w:rPr>
              <w:t>对有价值现象的探索，新规律的发现，新命题、新方法的提出等新的科学发现；对解决自然科学或工程技术中重要问题的作用；论文及成果对科技发展和社会进步的影响和贡献。</w:t>
            </w:r>
          </w:p>
        </w:tc>
        <w:tc>
          <w:tcPr>
            <w:tcW w:w="425" w:type="dxa"/>
          </w:tcPr>
          <w:p w:rsidR="008F1B94" w:rsidRDefault="008F1B94" w:rsidP="00811263">
            <w:pPr>
              <w:pStyle w:val="a3"/>
              <w:widowControl w:val="0"/>
              <w:spacing w:before="60" w:after="60" w:line="300" w:lineRule="auto"/>
              <w:rPr>
                <w:rStyle w:val="a9"/>
                <w:b/>
              </w:rPr>
            </w:pPr>
          </w:p>
        </w:tc>
        <w:tc>
          <w:tcPr>
            <w:tcW w:w="425" w:type="dxa"/>
          </w:tcPr>
          <w:p w:rsidR="008F1B94" w:rsidRDefault="008F1B94" w:rsidP="00811263">
            <w:pPr>
              <w:pStyle w:val="a3"/>
              <w:widowControl w:val="0"/>
              <w:spacing w:before="60" w:after="60" w:line="300" w:lineRule="auto"/>
              <w:rPr>
                <w:rStyle w:val="a9"/>
                <w:b/>
              </w:rPr>
            </w:pPr>
          </w:p>
        </w:tc>
        <w:tc>
          <w:tcPr>
            <w:tcW w:w="426" w:type="dxa"/>
          </w:tcPr>
          <w:p w:rsidR="008F1B94" w:rsidRDefault="008F1B94" w:rsidP="00811263">
            <w:pPr>
              <w:pStyle w:val="a3"/>
              <w:widowControl w:val="0"/>
              <w:spacing w:before="60" w:after="60" w:line="300" w:lineRule="auto"/>
              <w:rPr>
                <w:rStyle w:val="a9"/>
                <w:b/>
              </w:rPr>
            </w:pPr>
          </w:p>
        </w:tc>
        <w:tc>
          <w:tcPr>
            <w:tcW w:w="363" w:type="dxa"/>
          </w:tcPr>
          <w:p w:rsidR="008F1B94" w:rsidRDefault="008F1B94" w:rsidP="00811263">
            <w:pPr>
              <w:pStyle w:val="a3"/>
              <w:widowControl w:val="0"/>
              <w:spacing w:before="60" w:after="60" w:line="300" w:lineRule="auto"/>
              <w:rPr>
                <w:rStyle w:val="a9"/>
                <w:b/>
              </w:rPr>
            </w:pPr>
          </w:p>
        </w:tc>
      </w:tr>
      <w:tr w:rsidR="008F1B94" w:rsidTr="00CE6CC8">
        <w:tc>
          <w:tcPr>
            <w:tcW w:w="1165" w:type="dxa"/>
            <w:vAlign w:val="center"/>
          </w:tcPr>
          <w:p w:rsidR="008F1B94" w:rsidRPr="004B30A0" w:rsidRDefault="008F1B94" w:rsidP="004B30A0">
            <w:pPr>
              <w:pStyle w:val="a3"/>
              <w:widowControl w:val="0"/>
              <w:spacing w:before="60" w:after="60" w:line="300" w:lineRule="auto"/>
              <w:jc w:val="center"/>
              <w:rPr>
                <w:rStyle w:val="ad"/>
                <w:b/>
              </w:rPr>
            </w:pPr>
            <w:r w:rsidRPr="004B30A0">
              <w:rPr>
                <w:rStyle w:val="ad"/>
                <w:rFonts w:hint="eastAsia"/>
                <w:b/>
              </w:rPr>
              <w:lastRenderedPageBreak/>
              <w:t>科研能力</w:t>
            </w:r>
          </w:p>
          <w:p w:rsidR="008F1B94" w:rsidRPr="004B30A0" w:rsidRDefault="008F1B94" w:rsidP="004B30A0">
            <w:pPr>
              <w:pStyle w:val="a3"/>
              <w:widowControl w:val="0"/>
              <w:spacing w:before="60" w:after="60" w:line="300" w:lineRule="auto"/>
              <w:jc w:val="center"/>
              <w:rPr>
                <w:b/>
              </w:rPr>
            </w:pPr>
            <w:r w:rsidRPr="004B30A0">
              <w:rPr>
                <w:rStyle w:val="ad"/>
                <w:rFonts w:hint="eastAsia"/>
                <w:b/>
              </w:rPr>
              <w:t>和基础知识</w:t>
            </w:r>
          </w:p>
        </w:tc>
        <w:tc>
          <w:tcPr>
            <w:tcW w:w="5351" w:type="dxa"/>
            <w:gridSpan w:val="2"/>
            <w:vAlign w:val="center"/>
          </w:tcPr>
          <w:p w:rsidR="008F1B94" w:rsidRDefault="008F1B94" w:rsidP="00811263">
            <w:pPr>
              <w:pStyle w:val="a3"/>
              <w:widowControl w:val="0"/>
              <w:spacing w:before="60" w:after="60" w:line="300" w:lineRule="auto"/>
            </w:pPr>
            <w:r>
              <w:rPr>
                <w:rFonts w:cs="宋体" w:hint="eastAsia"/>
                <w:sz w:val="21"/>
                <w:szCs w:val="21"/>
              </w:rPr>
              <w:t>论文体现的学科理论基础坚实宽广程度和专门知识系统深入程度；论文研究方法的科学性，引证资料的翔实性；论文所体现的作者独立从事科学研究的能力。</w:t>
            </w:r>
          </w:p>
        </w:tc>
        <w:tc>
          <w:tcPr>
            <w:tcW w:w="425" w:type="dxa"/>
          </w:tcPr>
          <w:p w:rsidR="008F1B94" w:rsidRDefault="008F1B94" w:rsidP="00811263">
            <w:pPr>
              <w:pStyle w:val="a3"/>
              <w:widowControl w:val="0"/>
              <w:spacing w:before="60" w:after="60" w:line="300" w:lineRule="auto"/>
              <w:rPr>
                <w:rStyle w:val="a9"/>
                <w:b/>
              </w:rPr>
            </w:pPr>
          </w:p>
        </w:tc>
        <w:tc>
          <w:tcPr>
            <w:tcW w:w="425" w:type="dxa"/>
          </w:tcPr>
          <w:p w:rsidR="008F1B94" w:rsidRDefault="008F1B94" w:rsidP="00811263">
            <w:pPr>
              <w:pStyle w:val="a3"/>
              <w:widowControl w:val="0"/>
              <w:spacing w:before="60" w:after="60" w:line="300" w:lineRule="auto"/>
              <w:rPr>
                <w:rStyle w:val="a9"/>
                <w:b/>
              </w:rPr>
            </w:pPr>
          </w:p>
        </w:tc>
        <w:tc>
          <w:tcPr>
            <w:tcW w:w="426" w:type="dxa"/>
          </w:tcPr>
          <w:p w:rsidR="008F1B94" w:rsidRDefault="008F1B94" w:rsidP="00811263">
            <w:pPr>
              <w:pStyle w:val="a3"/>
              <w:widowControl w:val="0"/>
              <w:spacing w:before="60" w:after="60" w:line="300" w:lineRule="auto"/>
              <w:rPr>
                <w:rStyle w:val="a9"/>
                <w:b/>
              </w:rPr>
            </w:pPr>
          </w:p>
        </w:tc>
        <w:tc>
          <w:tcPr>
            <w:tcW w:w="363" w:type="dxa"/>
          </w:tcPr>
          <w:p w:rsidR="008F1B94" w:rsidRDefault="008F1B94" w:rsidP="00811263">
            <w:pPr>
              <w:pStyle w:val="a3"/>
              <w:widowControl w:val="0"/>
              <w:spacing w:before="60" w:after="60" w:line="300" w:lineRule="auto"/>
              <w:rPr>
                <w:rStyle w:val="a9"/>
                <w:b/>
              </w:rPr>
            </w:pPr>
          </w:p>
        </w:tc>
      </w:tr>
      <w:tr w:rsidR="008F1B94" w:rsidTr="00CE6CC8">
        <w:tc>
          <w:tcPr>
            <w:tcW w:w="1165" w:type="dxa"/>
            <w:vAlign w:val="center"/>
          </w:tcPr>
          <w:p w:rsidR="008F1B94" w:rsidRPr="004B30A0" w:rsidRDefault="008F1B94" w:rsidP="004B30A0">
            <w:pPr>
              <w:pStyle w:val="a3"/>
              <w:widowControl w:val="0"/>
              <w:spacing w:before="60" w:after="60" w:line="300" w:lineRule="auto"/>
              <w:jc w:val="center"/>
              <w:rPr>
                <w:rStyle w:val="ad"/>
                <w:b/>
              </w:rPr>
            </w:pPr>
            <w:r w:rsidRPr="004B30A0">
              <w:rPr>
                <w:rStyle w:val="ad"/>
                <w:rFonts w:hint="eastAsia"/>
                <w:b/>
              </w:rPr>
              <w:t>论文</w:t>
            </w:r>
          </w:p>
          <w:p w:rsidR="008F1B94" w:rsidRPr="004B30A0" w:rsidRDefault="008F1B94" w:rsidP="004B30A0">
            <w:pPr>
              <w:pStyle w:val="a3"/>
              <w:widowControl w:val="0"/>
              <w:spacing w:before="60" w:after="60" w:line="300" w:lineRule="auto"/>
              <w:jc w:val="center"/>
              <w:rPr>
                <w:b/>
              </w:rPr>
            </w:pPr>
            <w:r w:rsidRPr="004B30A0">
              <w:rPr>
                <w:rStyle w:val="ad"/>
                <w:rFonts w:hint="eastAsia"/>
                <w:b/>
              </w:rPr>
              <w:t>规范性</w:t>
            </w:r>
          </w:p>
        </w:tc>
        <w:tc>
          <w:tcPr>
            <w:tcW w:w="5351" w:type="dxa"/>
            <w:gridSpan w:val="2"/>
            <w:vAlign w:val="center"/>
          </w:tcPr>
          <w:p w:rsidR="008F1B94" w:rsidRDefault="008F1B94" w:rsidP="00811263">
            <w:pPr>
              <w:pStyle w:val="a3"/>
              <w:widowControl w:val="0"/>
              <w:spacing w:before="60" w:after="60" w:line="300" w:lineRule="auto"/>
            </w:pPr>
            <w:r>
              <w:rPr>
                <w:rFonts w:cs="宋体" w:hint="eastAsia"/>
                <w:sz w:val="21"/>
                <w:szCs w:val="21"/>
              </w:rPr>
              <w:t>引文的规范性，学风的严谨性；论文结构的逻辑性；文字表述的准确性、流畅性。</w:t>
            </w:r>
          </w:p>
        </w:tc>
        <w:tc>
          <w:tcPr>
            <w:tcW w:w="425" w:type="dxa"/>
          </w:tcPr>
          <w:p w:rsidR="008F1B94" w:rsidRDefault="008F1B94" w:rsidP="00811263">
            <w:pPr>
              <w:pStyle w:val="a3"/>
              <w:widowControl w:val="0"/>
              <w:spacing w:before="60" w:after="60" w:line="300" w:lineRule="auto"/>
              <w:rPr>
                <w:rStyle w:val="a9"/>
                <w:b/>
              </w:rPr>
            </w:pPr>
          </w:p>
        </w:tc>
        <w:tc>
          <w:tcPr>
            <w:tcW w:w="425" w:type="dxa"/>
          </w:tcPr>
          <w:p w:rsidR="008F1B94" w:rsidRDefault="008F1B94" w:rsidP="00811263">
            <w:pPr>
              <w:pStyle w:val="a3"/>
              <w:widowControl w:val="0"/>
              <w:spacing w:before="60" w:after="60" w:line="300" w:lineRule="auto"/>
              <w:rPr>
                <w:rStyle w:val="a9"/>
                <w:b/>
              </w:rPr>
            </w:pPr>
          </w:p>
        </w:tc>
        <w:tc>
          <w:tcPr>
            <w:tcW w:w="426" w:type="dxa"/>
          </w:tcPr>
          <w:p w:rsidR="008F1B94" w:rsidRDefault="008F1B94" w:rsidP="00811263">
            <w:pPr>
              <w:pStyle w:val="a3"/>
              <w:widowControl w:val="0"/>
              <w:spacing w:before="60" w:after="60" w:line="300" w:lineRule="auto"/>
              <w:rPr>
                <w:rStyle w:val="a9"/>
                <w:b/>
              </w:rPr>
            </w:pPr>
          </w:p>
        </w:tc>
        <w:tc>
          <w:tcPr>
            <w:tcW w:w="363" w:type="dxa"/>
          </w:tcPr>
          <w:p w:rsidR="008F1B94" w:rsidRDefault="008F1B94" w:rsidP="00811263">
            <w:pPr>
              <w:pStyle w:val="a3"/>
              <w:widowControl w:val="0"/>
              <w:spacing w:before="60" w:after="60" w:line="300" w:lineRule="auto"/>
              <w:rPr>
                <w:rStyle w:val="a9"/>
                <w:b/>
              </w:rPr>
            </w:pPr>
          </w:p>
        </w:tc>
      </w:tr>
      <w:tr w:rsidR="008F1B94" w:rsidTr="00CE6CC8">
        <w:tc>
          <w:tcPr>
            <w:tcW w:w="1165" w:type="dxa"/>
            <w:vAlign w:val="center"/>
          </w:tcPr>
          <w:p w:rsidR="008F1B94" w:rsidRPr="004B30A0" w:rsidRDefault="008F1B94" w:rsidP="004B30A0">
            <w:pPr>
              <w:pStyle w:val="a3"/>
              <w:widowControl w:val="0"/>
              <w:spacing w:before="60" w:after="60" w:line="300" w:lineRule="auto"/>
              <w:jc w:val="center"/>
              <w:rPr>
                <w:rStyle w:val="ad"/>
                <w:b/>
              </w:rPr>
            </w:pPr>
            <w:r w:rsidRPr="004B30A0">
              <w:rPr>
                <w:rStyle w:val="ad"/>
                <w:rFonts w:hint="eastAsia"/>
                <w:b/>
              </w:rPr>
              <w:t>结论</w:t>
            </w:r>
          </w:p>
          <w:p w:rsidR="008F1B94" w:rsidRDefault="008F1B94" w:rsidP="004B30A0">
            <w:pPr>
              <w:pStyle w:val="a3"/>
              <w:widowControl w:val="0"/>
              <w:spacing w:before="60" w:after="60" w:line="300" w:lineRule="auto"/>
              <w:jc w:val="center"/>
            </w:pPr>
            <w:r w:rsidRPr="004B30A0">
              <w:rPr>
                <w:rStyle w:val="ad"/>
                <w:rFonts w:hint="eastAsia"/>
                <w:b/>
              </w:rPr>
              <w:t>（打√）</w:t>
            </w:r>
          </w:p>
        </w:tc>
        <w:tc>
          <w:tcPr>
            <w:tcW w:w="5351" w:type="dxa"/>
            <w:gridSpan w:val="2"/>
            <w:vAlign w:val="center"/>
          </w:tcPr>
          <w:p w:rsidR="008F1B94" w:rsidRDefault="008F1B94" w:rsidP="00811263">
            <w:pPr>
              <w:pStyle w:val="a3"/>
              <w:widowControl w:val="0"/>
              <w:spacing w:before="60" w:after="60" w:line="300" w:lineRule="auto"/>
              <w:rPr>
                <w:rFonts w:cs="宋体"/>
                <w:sz w:val="21"/>
                <w:szCs w:val="21"/>
              </w:rPr>
            </w:pPr>
            <w:r>
              <w:rPr>
                <w:rFonts w:cs="宋体"/>
                <w:sz w:val="21"/>
                <w:szCs w:val="21"/>
              </w:rPr>
              <w:t>1.</w:t>
            </w:r>
            <w:r>
              <w:rPr>
                <w:rFonts w:cs="宋体" w:hint="eastAsia"/>
                <w:sz w:val="21"/>
                <w:szCs w:val="21"/>
              </w:rPr>
              <w:t>（</w:t>
            </w:r>
            <w:r>
              <w:rPr>
                <w:rFonts w:cs="宋体"/>
                <w:sz w:val="21"/>
                <w:szCs w:val="21"/>
              </w:rPr>
              <w:t xml:space="preserve">     </w:t>
            </w:r>
            <w:r>
              <w:rPr>
                <w:rFonts w:cs="宋体" w:hint="eastAsia"/>
                <w:sz w:val="21"/>
                <w:szCs w:val="21"/>
              </w:rPr>
              <w:t>）</w:t>
            </w:r>
            <w:r>
              <w:rPr>
                <w:rFonts w:cs="宋体"/>
                <w:sz w:val="21"/>
                <w:szCs w:val="21"/>
              </w:rPr>
              <w:t xml:space="preserve"> </w:t>
            </w:r>
            <w:r>
              <w:rPr>
                <w:rFonts w:cs="宋体" w:hint="eastAsia"/>
                <w:sz w:val="21"/>
                <w:szCs w:val="21"/>
              </w:rPr>
              <w:t>同意论文答辩。</w:t>
            </w:r>
          </w:p>
          <w:p w:rsidR="008F1B94" w:rsidRDefault="008F1B94" w:rsidP="00811263">
            <w:pPr>
              <w:pStyle w:val="a3"/>
              <w:widowControl w:val="0"/>
              <w:spacing w:before="60" w:after="60" w:line="300" w:lineRule="auto"/>
              <w:rPr>
                <w:rFonts w:cs="宋体"/>
                <w:sz w:val="21"/>
                <w:szCs w:val="21"/>
              </w:rPr>
            </w:pPr>
            <w:r>
              <w:rPr>
                <w:rFonts w:cs="宋体"/>
                <w:sz w:val="21"/>
                <w:szCs w:val="21"/>
              </w:rPr>
              <w:t>2.</w:t>
            </w:r>
            <w:r>
              <w:rPr>
                <w:rFonts w:cs="宋体" w:hint="eastAsia"/>
                <w:sz w:val="21"/>
                <w:szCs w:val="21"/>
              </w:rPr>
              <w:t>（</w:t>
            </w:r>
            <w:r>
              <w:rPr>
                <w:rFonts w:cs="宋体"/>
                <w:sz w:val="21"/>
                <w:szCs w:val="21"/>
              </w:rPr>
              <w:t xml:space="preserve">     </w:t>
            </w:r>
            <w:r>
              <w:rPr>
                <w:rFonts w:cs="宋体" w:hint="eastAsia"/>
                <w:sz w:val="21"/>
                <w:szCs w:val="21"/>
              </w:rPr>
              <w:t>）</w:t>
            </w:r>
            <w:r>
              <w:rPr>
                <w:rFonts w:cs="宋体"/>
                <w:sz w:val="21"/>
                <w:szCs w:val="21"/>
              </w:rPr>
              <w:t xml:space="preserve"> </w:t>
            </w:r>
            <w:r>
              <w:rPr>
                <w:rFonts w:cs="宋体" w:hint="eastAsia"/>
                <w:sz w:val="21"/>
                <w:szCs w:val="21"/>
              </w:rPr>
              <w:t>同意稍作修改直接答辩。</w:t>
            </w:r>
          </w:p>
          <w:p w:rsidR="008F1B94" w:rsidRDefault="008F1B94" w:rsidP="00811263">
            <w:pPr>
              <w:pStyle w:val="a3"/>
              <w:widowControl w:val="0"/>
              <w:spacing w:before="60" w:after="60" w:line="300" w:lineRule="auto"/>
              <w:rPr>
                <w:rFonts w:cs="宋体"/>
                <w:sz w:val="21"/>
                <w:szCs w:val="21"/>
              </w:rPr>
            </w:pPr>
            <w:r>
              <w:rPr>
                <w:rFonts w:cs="宋体"/>
                <w:sz w:val="21"/>
                <w:szCs w:val="21"/>
              </w:rPr>
              <w:t>3.</w:t>
            </w:r>
            <w:r>
              <w:rPr>
                <w:rFonts w:cs="宋体" w:hint="eastAsia"/>
                <w:sz w:val="21"/>
                <w:szCs w:val="21"/>
              </w:rPr>
              <w:t>（</w:t>
            </w:r>
            <w:r>
              <w:rPr>
                <w:rFonts w:cs="宋体"/>
                <w:sz w:val="21"/>
                <w:szCs w:val="21"/>
              </w:rPr>
              <w:t xml:space="preserve">     </w:t>
            </w:r>
            <w:r>
              <w:rPr>
                <w:rFonts w:cs="宋体" w:hint="eastAsia"/>
                <w:sz w:val="21"/>
                <w:szCs w:val="21"/>
              </w:rPr>
              <w:t>）</w:t>
            </w:r>
            <w:r>
              <w:rPr>
                <w:rFonts w:cs="宋体"/>
                <w:sz w:val="21"/>
                <w:szCs w:val="21"/>
              </w:rPr>
              <w:t xml:space="preserve"> </w:t>
            </w:r>
            <w:r>
              <w:rPr>
                <w:rFonts w:cs="宋体" w:hint="eastAsia"/>
                <w:sz w:val="21"/>
                <w:szCs w:val="21"/>
              </w:rPr>
              <w:t>建议作大幅度修改（需另行送审）。</w:t>
            </w:r>
          </w:p>
          <w:p w:rsidR="008F1B94" w:rsidRDefault="008F1B94" w:rsidP="00811263">
            <w:pPr>
              <w:pStyle w:val="a3"/>
              <w:widowControl w:val="0"/>
              <w:spacing w:before="60" w:after="60" w:line="300" w:lineRule="auto"/>
            </w:pPr>
            <w:r>
              <w:rPr>
                <w:rFonts w:cs="宋体"/>
                <w:sz w:val="21"/>
                <w:szCs w:val="21"/>
              </w:rPr>
              <w:t>4.</w:t>
            </w:r>
            <w:r>
              <w:rPr>
                <w:rFonts w:cs="宋体" w:hint="eastAsia"/>
                <w:sz w:val="21"/>
                <w:szCs w:val="21"/>
              </w:rPr>
              <w:t>（</w:t>
            </w:r>
            <w:r>
              <w:rPr>
                <w:rFonts w:cs="宋体"/>
                <w:sz w:val="21"/>
                <w:szCs w:val="21"/>
              </w:rPr>
              <w:t xml:space="preserve">     </w:t>
            </w:r>
            <w:r>
              <w:rPr>
                <w:rFonts w:cs="宋体" w:hint="eastAsia"/>
                <w:sz w:val="21"/>
                <w:szCs w:val="21"/>
              </w:rPr>
              <w:t>）</w:t>
            </w:r>
            <w:r>
              <w:rPr>
                <w:rFonts w:cs="宋体"/>
                <w:sz w:val="21"/>
                <w:szCs w:val="21"/>
              </w:rPr>
              <w:t xml:space="preserve"> </w:t>
            </w:r>
            <w:r>
              <w:rPr>
                <w:rFonts w:cs="宋体" w:hint="eastAsia"/>
                <w:sz w:val="21"/>
                <w:szCs w:val="21"/>
              </w:rPr>
              <w:t>不同意进行论文答辩。</w:t>
            </w:r>
          </w:p>
        </w:tc>
        <w:tc>
          <w:tcPr>
            <w:tcW w:w="425" w:type="dxa"/>
          </w:tcPr>
          <w:p w:rsidR="008F1B94" w:rsidRDefault="008F1B94" w:rsidP="00811263">
            <w:pPr>
              <w:pStyle w:val="a3"/>
              <w:widowControl w:val="0"/>
              <w:spacing w:before="60" w:after="60" w:line="300" w:lineRule="auto"/>
              <w:rPr>
                <w:rStyle w:val="a9"/>
                <w:b/>
              </w:rPr>
            </w:pPr>
          </w:p>
        </w:tc>
        <w:tc>
          <w:tcPr>
            <w:tcW w:w="425" w:type="dxa"/>
          </w:tcPr>
          <w:p w:rsidR="008F1B94" w:rsidRDefault="008F1B94" w:rsidP="00811263">
            <w:pPr>
              <w:pStyle w:val="a3"/>
              <w:widowControl w:val="0"/>
              <w:spacing w:before="60" w:after="60" w:line="300" w:lineRule="auto"/>
              <w:rPr>
                <w:rStyle w:val="a9"/>
                <w:b/>
              </w:rPr>
            </w:pPr>
          </w:p>
        </w:tc>
        <w:tc>
          <w:tcPr>
            <w:tcW w:w="426" w:type="dxa"/>
          </w:tcPr>
          <w:p w:rsidR="008F1B94" w:rsidRDefault="008F1B94" w:rsidP="00811263">
            <w:pPr>
              <w:pStyle w:val="a3"/>
              <w:widowControl w:val="0"/>
              <w:spacing w:before="60" w:after="60" w:line="300" w:lineRule="auto"/>
              <w:rPr>
                <w:rStyle w:val="a9"/>
                <w:b/>
              </w:rPr>
            </w:pPr>
          </w:p>
        </w:tc>
        <w:tc>
          <w:tcPr>
            <w:tcW w:w="363" w:type="dxa"/>
          </w:tcPr>
          <w:p w:rsidR="008F1B94" w:rsidRDefault="008F1B94" w:rsidP="00811263">
            <w:pPr>
              <w:pStyle w:val="a3"/>
              <w:widowControl w:val="0"/>
              <w:spacing w:before="60" w:after="60" w:line="300" w:lineRule="auto"/>
              <w:rPr>
                <w:rStyle w:val="a9"/>
                <w:b/>
              </w:rPr>
            </w:pPr>
          </w:p>
        </w:tc>
      </w:tr>
    </w:tbl>
    <w:p w:rsidR="008F1B94" w:rsidRPr="00472461" w:rsidRDefault="008F1B94" w:rsidP="00472461">
      <w:pPr>
        <w:pStyle w:val="a3"/>
        <w:widowControl w:val="0"/>
        <w:spacing w:before="120" w:after="120" w:line="300" w:lineRule="auto"/>
        <w:ind w:firstLineChars="200" w:firstLine="422"/>
        <w:rPr>
          <w:rStyle w:val="a9"/>
          <w:b/>
        </w:rPr>
      </w:pPr>
      <w:r w:rsidRPr="00472461">
        <w:rPr>
          <w:rStyle w:val="a9"/>
          <w:rFonts w:hint="eastAsia"/>
          <w:b/>
        </w:rPr>
        <w:t>五、盲审结果的认定</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每位学位申请人学位论文的最终评审结果根据返回的评审结论综合而成。评审结果分为四种：“通过”、“基本通过”、“异议”和“不通过”。</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1.</w:t>
      </w:r>
      <w:r>
        <w:rPr>
          <w:rFonts w:ascii="宋体" w:eastAsia="宋体" w:cs="宋体" w:hint="eastAsia"/>
          <w:sz w:val="21"/>
          <w:szCs w:val="21"/>
        </w:rPr>
        <w:t>通过</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当评审结论都是“同意论文答辩”时，认定为评审通过。</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2.</w:t>
      </w:r>
      <w:r>
        <w:rPr>
          <w:rFonts w:ascii="宋体" w:eastAsia="宋体" w:cs="宋体" w:hint="eastAsia"/>
          <w:sz w:val="21"/>
          <w:szCs w:val="21"/>
        </w:rPr>
        <w:t>基本通过</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当评审结论出现“同意稍作修改直接答辩”，且没有“建议作大幅度修改（需另行送审）”、“不同意进行论文答辩”时，认定为评审基本通过。</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3.</w:t>
      </w:r>
      <w:r>
        <w:rPr>
          <w:rFonts w:ascii="宋体" w:eastAsia="宋体" w:cs="宋体" w:hint="eastAsia"/>
          <w:sz w:val="21"/>
          <w:szCs w:val="21"/>
        </w:rPr>
        <w:t>异议</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当评审结论出现“建议作大幅度修改（需另行送审）”但没有“不同意进行论文答辩”时（结论全部为“建议作大幅度修改（需另行送审）”除外），认定为评审异议。</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4.</w:t>
      </w:r>
      <w:r>
        <w:rPr>
          <w:rFonts w:ascii="宋体" w:eastAsia="宋体" w:cs="宋体" w:hint="eastAsia"/>
          <w:sz w:val="21"/>
          <w:szCs w:val="21"/>
        </w:rPr>
        <w:t>不通过</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当评审结论出现“不同意进行论文答辩”时，或者结论都是“建议作大幅度修改（需另行送审）”时，或者有一份评审的结果虽然是“建议作大幅度修改（需另行送审）”但分项指标成绩都是“</w:t>
      </w:r>
      <w:r>
        <w:rPr>
          <w:rFonts w:ascii="宋体" w:eastAsia="宋体" w:cs="宋体"/>
          <w:sz w:val="21"/>
          <w:szCs w:val="21"/>
        </w:rPr>
        <w:t>D</w:t>
      </w:r>
      <w:r>
        <w:rPr>
          <w:rFonts w:ascii="宋体" w:eastAsia="宋体" w:cs="宋体" w:hint="eastAsia"/>
          <w:sz w:val="21"/>
          <w:szCs w:val="21"/>
        </w:rPr>
        <w:t>”，认定为不通过。</w:t>
      </w:r>
    </w:p>
    <w:p w:rsidR="008F1B94" w:rsidRPr="00472461" w:rsidRDefault="008F1B94" w:rsidP="00472461">
      <w:pPr>
        <w:pStyle w:val="a3"/>
        <w:widowControl w:val="0"/>
        <w:spacing w:before="120" w:after="120" w:line="300" w:lineRule="auto"/>
        <w:ind w:firstLineChars="200" w:firstLine="422"/>
        <w:rPr>
          <w:rStyle w:val="a9"/>
          <w:b/>
        </w:rPr>
      </w:pPr>
      <w:r w:rsidRPr="00472461">
        <w:rPr>
          <w:rStyle w:val="a9"/>
          <w:rFonts w:hint="eastAsia"/>
          <w:b/>
        </w:rPr>
        <w:t>六、盲审结果的处理</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1</w:t>
      </w:r>
      <w:r>
        <w:rPr>
          <w:rFonts w:ascii="宋体" w:eastAsia="宋体" w:cs="宋体" w:hint="eastAsia"/>
          <w:sz w:val="21"/>
          <w:szCs w:val="21"/>
        </w:rPr>
        <w:t>．评审结果为“通过”的，经导师审核同意，可直接进行答辩申请。</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2</w:t>
      </w:r>
      <w:r>
        <w:rPr>
          <w:rFonts w:ascii="宋体" w:eastAsia="宋体" w:cs="宋体" w:hint="eastAsia"/>
          <w:sz w:val="21"/>
          <w:szCs w:val="21"/>
        </w:rPr>
        <w:t>．评审结论为“基本通过”的，论文须经修改后，导师决定是否可以答辩。</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3</w:t>
      </w:r>
      <w:r>
        <w:rPr>
          <w:rFonts w:ascii="宋体" w:eastAsia="宋体" w:cs="宋体" w:hint="eastAsia"/>
          <w:sz w:val="21"/>
          <w:szCs w:val="21"/>
        </w:rPr>
        <w:t>．评审结果为“异议”的，学位评定分委员会可结合论文实际</w:t>
      </w:r>
      <w:r>
        <w:rPr>
          <w:rFonts w:ascii="宋体" w:eastAsia="宋体" w:cs="宋体"/>
          <w:sz w:val="21"/>
          <w:szCs w:val="21"/>
        </w:rPr>
        <w:t>,</w:t>
      </w:r>
      <w:r>
        <w:rPr>
          <w:rFonts w:ascii="宋体" w:eastAsia="宋体" w:cs="宋体" w:hint="eastAsia"/>
          <w:sz w:val="21"/>
          <w:szCs w:val="21"/>
        </w:rPr>
        <w:t>作出以下决定：</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w:t>
      </w:r>
      <w:r>
        <w:rPr>
          <w:rFonts w:ascii="宋体" w:eastAsia="宋体" w:cs="宋体"/>
          <w:sz w:val="21"/>
          <w:szCs w:val="21"/>
        </w:rPr>
        <w:t>1</w:t>
      </w:r>
      <w:r>
        <w:rPr>
          <w:rFonts w:ascii="宋体" w:eastAsia="宋体" w:cs="宋体" w:hint="eastAsia"/>
          <w:sz w:val="21"/>
          <w:szCs w:val="21"/>
        </w:rPr>
        <w:t>）“同意稍作修改后直接进行论文答辩”。学位评定分委员会在必要的时候可以</w:t>
      </w:r>
      <w:r>
        <w:rPr>
          <w:rFonts w:ascii="宋体" w:eastAsia="宋体" w:cs="宋体" w:hint="eastAsia"/>
          <w:sz w:val="21"/>
          <w:szCs w:val="21"/>
        </w:rPr>
        <w:lastRenderedPageBreak/>
        <w:t>邀请学界权威专家对论文和评审意见进行审读。</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w:t>
      </w:r>
      <w:r>
        <w:rPr>
          <w:rFonts w:ascii="宋体" w:eastAsia="宋体" w:cs="宋体"/>
          <w:sz w:val="21"/>
          <w:szCs w:val="21"/>
        </w:rPr>
        <w:t>2</w:t>
      </w:r>
      <w:r>
        <w:rPr>
          <w:rFonts w:ascii="宋体" w:eastAsia="宋体" w:cs="宋体" w:hint="eastAsia"/>
          <w:sz w:val="21"/>
          <w:szCs w:val="21"/>
        </w:rPr>
        <w:t>）“不同意论文答辩”。学位评定分委员会应结合评审专家意见，给出修改意见。</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w:t>
      </w:r>
      <w:r>
        <w:rPr>
          <w:rFonts w:ascii="宋体" w:eastAsia="宋体" w:cs="宋体"/>
          <w:sz w:val="21"/>
          <w:szCs w:val="21"/>
        </w:rPr>
        <w:t>3</w:t>
      </w:r>
      <w:r>
        <w:rPr>
          <w:rFonts w:ascii="宋体" w:eastAsia="宋体" w:cs="宋体" w:hint="eastAsia"/>
          <w:sz w:val="21"/>
          <w:szCs w:val="21"/>
        </w:rPr>
        <w:t>）“建议另送专家评审”。另送专家评阅的成绩将作为判定该评阅是否通过的唯一标准。如其结论为“同意论文答辩”或“同意稍作修改直接答辩”，经分委员会同意，论文作者可直接参加答辩；否则申请人即需按照评阅意见修改论文，半年之后、一年之内再次提出论文答辩申请。</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4</w:t>
      </w:r>
      <w:r>
        <w:rPr>
          <w:rFonts w:ascii="宋体" w:eastAsia="宋体" w:cs="宋体" w:hint="eastAsia"/>
          <w:sz w:val="21"/>
          <w:szCs w:val="21"/>
        </w:rPr>
        <w:t>．评审结果为“不通过”时，硕士学位申请人原则上不可进行答辩申请，并在半年后（有效的学习年限内）再次提交一本论文参加盲审。</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5</w:t>
      </w:r>
      <w:r>
        <w:rPr>
          <w:rFonts w:ascii="宋体" w:eastAsia="宋体" w:cs="宋体" w:hint="eastAsia"/>
          <w:sz w:val="21"/>
          <w:szCs w:val="21"/>
        </w:rPr>
        <w:t>．如硕士学位申请人及其导师均不认可“不通过”的评审结果，可向所属学部、院、系以及学位评定分委员会提出复议申诉。经学位点责任教授同意，并经学位评定分委员会全体委员三分之二（含）及以上同意，可另送两位专家复议。另送专家评审的结论将作为判定该评审是否通过的唯一标准。另送专家评审后，评审结果为“通过”、“基本通过”或“异议”的，按第六条第</w:t>
      </w:r>
      <w:r>
        <w:rPr>
          <w:rFonts w:ascii="宋体" w:eastAsia="宋体" w:cs="宋体"/>
          <w:sz w:val="21"/>
          <w:szCs w:val="21"/>
        </w:rPr>
        <w:t>1</w:t>
      </w:r>
      <w:r>
        <w:rPr>
          <w:rFonts w:ascii="宋体" w:eastAsia="宋体" w:cs="宋体" w:hint="eastAsia"/>
          <w:sz w:val="21"/>
          <w:szCs w:val="21"/>
        </w:rPr>
        <w:t>、</w:t>
      </w:r>
      <w:r>
        <w:rPr>
          <w:rFonts w:ascii="宋体" w:eastAsia="宋体" w:cs="宋体"/>
          <w:sz w:val="21"/>
          <w:szCs w:val="21"/>
        </w:rPr>
        <w:t>2</w:t>
      </w:r>
      <w:r>
        <w:rPr>
          <w:rFonts w:ascii="宋体" w:eastAsia="宋体" w:cs="宋体" w:hint="eastAsia"/>
          <w:sz w:val="21"/>
          <w:szCs w:val="21"/>
        </w:rPr>
        <w:t>、</w:t>
      </w:r>
      <w:r>
        <w:rPr>
          <w:rFonts w:ascii="宋体" w:eastAsia="宋体" w:cs="宋体"/>
          <w:sz w:val="21"/>
          <w:szCs w:val="21"/>
        </w:rPr>
        <w:t>3</w:t>
      </w:r>
      <w:r>
        <w:rPr>
          <w:rFonts w:ascii="宋体" w:eastAsia="宋体" w:cs="宋体" w:hint="eastAsia"/>
          <w:sz w:val="21"/>
          <w:szCs w:val="21"/>
        </w:rPr>
        <w:t>款处理；评审结果为“不通过”的，论文不能进行答辩，必须延期修改后才能申请答辩，同时院系可削减导师下学年指导硕士生人数或取消其指导硕士生资格。</w:t>
      </w:r>
    </w:p>
    <w:p w:rsidR="008F1B94" w:rsidRPr="00472461" w:rsidRDefault="008F1B94" w:rsidP="00472461">
      <w:pPr>
        <w:pStyle w:val="a3"/>
        <w:widowControl w:val="0"/>
        <w:spacing w:before="120" w:after="120" w:line="300" w:lineRule="auto"/>
        <w:ind w:firstLineChars="200" w:firstLine="422"/>
        <w:rPr>
          <w:rStyle w:val="a9"/>
          <w:b/>
        </w:rPr>
      </w:pPr>
      <w:r w:rsidRPr="00472461">
        <w:rPr>
          <w:rStyle w:val="a9"/>
          <w:rFonts w:hint="eastAsia"/>
          <w:b/>
        </w:rPr>
        <w:t>七、其他规定</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1.</w:t>
      </w:r>
      <w:r>
        <w:rPr>
          <w:rFonts w:ascii="宋体" w:eastAsia="宋体" w:cs="宋体" w:hint="eastAsia"/>
          <w:sz w:val="21"/>
          <w:szCs w:val="21"/>
        </w:rPr>
        <w:t>结业转毕业的硕士研究生申请答辩时，只能提交</w:t>
      </w:r>
      <w:r>
        <w:rPr>
          <w:rFonts w:ascii="宋体" w:eastAsia="宋体" w:cs="宋体"/>
          <w:sz w:val="21"/>
          <w:szCs w:val="21"/>
        </w:rPr>
        <w:t>1</w:t>
      </w:r>
      <w:r>
        <w:rPr>
          <w:rFonts w:ascii="宋体" w:eastAsia="宋体" w:cs="宋体" w:hint="eastAsia"/>
          <w:sz w:val="21"/>
          <w:szCs w:val="21"/>
        </w:rPr>
        <w:t>次盲审。盲审结果为“不通过”，答辩资格即终止；盲审结果为“异议”，按第六条第</w:t>
      </w:r>
      <w:r>
        <w:rPr>
          <w:rFonts w:ascii="宋体" w:eastAsia="宋体" w:cs="宋体"/>
          <w:sz w:val="21"/>
          <w:szCs w:val="21"/>
        </w:rPr>
        <w:t>3</w:t>
      </w:r>
      <w:r>
        <w:rPr>
          <w:rFonts w:ascii="宋体" w:eastAsia="宋体" w:cs="宋体" w:hint="eastAsia"/>
          <w:sz w:val="21"/>
          <w:szCs w:val="21"/>
        </w:rPr>
        <w:t>款处理，如复议结果仍为“异议”或“不通过”，则答辩资格终止。</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2.</w:t>
      </w:r>
      <w:r>
        <w:rPr>
          <w:rFonts w:ascii="宋体" w:eastAsia="宋体" w:cs="宋体" w:hint="eastAsia"/>
          <w:sz w:val="21"/>
          <w:szCs w:val="21"/>
        </w:rPr>
        <w:t>因盲审原因而延期的硕士研究生应按照评审意见修改论文，并在有效的学习年限内再次参加盲审。答辩委员会、学位评定分委员会和学位评定委员会在讨论和表决答辩、学位申请时，主要参考最近一次的盲审成绩和结果。</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3.</w:t>
      </w:r>
      <w:r>
        <w:rPr>
          <w:rFonts w:ascii="宋体" w:eastAsia="宋体" w:cs="宋体" w:hint="eastAsia"/>
          <w:sz w:val="21"/>
          <w:szCs w:val="21"/>
        </w:rPr>
        <w:t>院系如提出论文复议送原专家评审，而原专家不愿评审的，则由研究生院另送专家评审。另送专家评审时，应附上原异议专家的评审意见。另送专家评审的评审期限为</w:t>
      </w:r>
      <w:r>
        <w:rPr>
          <w:rFonts w:ascii="宋体" w:eastAsia="宋体" w:cs="宋体"/>
          <w:sz w:val="21"/>
          <w:szCs w:val="21"/>
        </w:rPr>
        <w:t>30</w:t>
      </w:r>
      <w:r>
        <w:rPr>
          <w:rFonts w:ascii="宋体" w:eastAsia="宋体" w:cs="宋体" w:hint="eastAsia"/>
          <w:sz w:val="21"/>
          <w:szCs w:val="21"/>
        </w:rPr>
        <w:t>天。</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4.</w:t>
      </w:r>
      <w:r>
        <w:rPr>
          <w:rFonts w:ascii="宋体" w:eastAsia="宋体" w:cs="宋体" w:hint="eastAsia"/>
          <w:sz w:val="21"/>
          <w:szCs w:val="21"/>
        </w:rPr>
        <w:t>评审结果存在“异议”或“不通过”的学位论文，如本次答辩通过，在学位评定分委员会和学部审核硕士学位授予工作时，需要重点汇报、重点讨论和审议。</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5.</w:t>
      </w:r>
      <w:r>
        <w:rPr>
          <w:rFonts w:ascii="宋体" w:eastAsia="宋体" w:cs="宋体" w:hint="eastAsia"/>
          <w:sz w:val="21"/>
          <w:szCs w:val="21"/>
        </w:rPr>
        <w:t>各学位点责任教授在硕士学位论文的评阅、盲审结果的处理中应发挥把关作用。</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6.</w:t>
      </w:r>
      <w:r>
        <w:rPr>
          <w:rFonts w:ascii="宋体" w:eastAsia="宋体" w:cs="宋体" w:hint="eastAsia"/>
          <w:sz w:val="21"/>
          <w:szCs w:val="21"/>
        </w:rPr>
        <w:t>学校及各学部、分委员会和培养单位可将论文盲审结果作为学部、学位点、培养单位和个人绩效考核、研究生培养质量的参考指标。</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7.</w:t>
      </w:r>
      <w:r>
        <w:rPr>
          <w:rFonts w:ascii="宋体" w:eastAsia="宋体" w:cs="宋体" w:hint="eastAsia"/>
          <w:sz w:val="21"/>
          <w:szCs w:val="21"/>
        </w:rPr>
        <w:t>各培养单位学位评定分委员会可根据本规定，结合院系所、学科实际和特点，制定更为详细的要求。</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lastRenderedPageBreak/>
        <w:t>本要求自发布之日起实施，解释权归研究生院。</w:t>
      </w:r>
    </w:p>
    <w:sectPr w:rsidR="008F1B94" w:rsidSect="00BA5DAC">
      <w:footerReference w:type="even" r:id="rId7"/>
      <w:footerReference w:type="default" r:id="rId8"/>
      <w:pgSz w:w="10433" w:h="14742"/>
      <w:pgMar w:top="1418" w:right="1134" w:bottom="1418" w:left="1134" w:header="73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4F10" w:rsidRDefault="00D04F10" w:rsidP="00BA5DAC">
      <w:pPr>
        <w:spacing w:after="0" w:line="240" w:lineRule="auto"/>
      </w:pPr>
      <w:r>
        <w:separator/>
      </w:r>
    </w:p>
  </w:endnote>
  <w:endnote w:type="continuationSeparator" w:id="0">
    <w:p w:rsidR="00D04F10" w:rsidRDefault="00D04F10" w:rsidP="00BA5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dobeSongStd-Light">
    <w:altName w:val="宋体"/>
    <w:panose1 w:val="00000000000000000000"/>
    <w:charset w:val="86"/>
    <w:family w:val="auto"/>
    <w:notTrueType/>
    <w:pitch w:val="default"/>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7034226"/>
      <w:docPartObj>
        <w:docPartGallery w:val="Page Numbers (Bottom of Page)"/>
        <w:docPartUnique/>
      </w:docPartObj>
    </w:sdtPr>
    <w:sdtEndPr/>
    <w:sdtContent>
      <w:p w:rsidR="00811263" w:rsidRDefault="00811263">
        <w:pPr>
          <w:pStyle w:val="a6"/>
        </w:pPr>
        <w:r>
          <w:fldChar w:fldCharType="begin"/>
        </w:r>
        <w:r>
          <w:instrText>PAGE   \* MERGEFORMAT</w:instrText>
        </w:r>
        <w:r>
          <w:fldChar w:fldCharType="separate"/>
        </w:r>
        <w:r w:rsidR="00472461" w:rsidRPr="00472461">
          <w:rPr>
            <w:noProof/>
            <w:lang w:val="zh-CN"/>
          </w:rPr>
          <w:t>120</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5542557"/>
      <w:docPartObj>
        <w:docPartGallery w:val="Page Numbers (Bottom of Page)"/>
        <w:docPartUnique/>
      </w:docPartObj>
    </w:sdtPr>
    <w:sdtEndPr/>
    <w:sdtContent>
      <w:p w:rsidR="00811263" w:rsidRDefault="00811263" w:rsidP="009C7418">
        <w:pPr>
          <w:pStyle w:val="a6"/>
          <w:jc w:val="right"/>
        </w:pPr>
        <w:r>
          <w:fldChar w:fldCharType="begin"/>
        </w:r>
        <w:r>
          <w:instrText>PAGE   \* MERGEFORMAT</w:instrText>
        </w:r>
        <w:r>
          <w:fldChar w:fldCharType="separate"/>
        </w:r>
        <w:r w:rsidR="00472461" w:rsidRPr="00472461">
          <w:rPr>
            <w:noProof/>
            <w:lang w:val="zh-CN"/>
          </w:rPr>
          <w:t>121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4F10" w:rsidRDefault="00D04F10" w:rsidP="00BA5DAC">
      <w:pPr>
        <w:spacing w:after="0" w:line="240" w:lineRule="auto"/>
      </w:pPr>
      <w:r>
        <w:separator/>
      </w:r>
    </w:p>
  </w:footnote>
  <w:footnote w:type="continuationSeparator" w:id="0">
    <w:p w:rsidR="00D04F10" w:rsidRDefault="00D04F10" w:rsidP="00BA5DA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AC"/>
    <w:rsid w:val="000D1BF6"/>
    <w:rsid w:val="000E5158"/>
    <w:rsid w:val="00104238"/>
    <w:rsid w:val="001D02B7"/>
    <w:rsid w:val="00213A9D"/>
    <w:rsid w:val="00251C16"/>
    <w:rsid w:val="00326EE9"/>
    <w:rsid w:val="0044232C"/>
    <w:rsid w:val="00472461"/>
    <w:rsid w:val="004B30A0"/>
    <w:rsid w:val="004F72E0"/>
    <w:rsid w:val="00500E69"/>
    <w:rsid w:val="0050433E"/>
    <w:rsid w:val="00563D23"/>
    <w:rsid w:val="00596A4F"/>
    <w:rsid w:val="005F5B46"/>
    <w:rsid w:val="006F2EEF"/>
    <w:rsid w:val="007373D9"/>
    <w:rsid w:val="007C7221"/>
    <w:rsid w:val="007F4087"/>
    <w:rsid w:val="007F4ED6"/>
    <w:rsid w:val="00801714"/>
    <w:rsid w:val="00811263"/>
    <w:rsid w:val="008668DC"/>
    <w:rsid w:val="008E70C4"/>
    <w:rsid w:val="008F1B94"/>
    <w:rsid w:val="008F4154"/>
    <w:rsid w:val="009065AA"/>
    <w:rsid w:val="009C7418"/>
    <w:rsid w:val="009E6D2E"/>
    <w:rsid w:val="009F714A"/>
    <w:rsid w:val="00A5767B"/>
    <w:rsid w:val="00B1012A"/>
    <w:rsid w:val="00BA5DAC"/>
    <w:rsid w:val="00C66567"/>
    <w:rsid w:val="00C97B1C"/>
    <w:rsid w:val="00CE1419"/>
    <w:rsid w:val="00CE6CC8"/>
    <w:rsid w:val="00D04F10"/>
    <w:rsid w:val="00DB7FD8"/>
    <w:rsid w:val="00DC72E8"/>
    <w:rsid w:val="00ED3B69"/>
    <w:rsid w:val="00EE6399"/>
    <w:rsid w:val="00F16E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C1C3A1"/>
  <w15:chartTrackingRefBased/>
  <w15:docId w15:val="{3FA7A166-F267-462D-9A16-1351A1B81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811263"/>
    <w:pPr>
      <w:pageBreakBefore/>
      <w:widowControl w:val="0"/>
      <w:spacing w:before="60" w:after="60" w:line="360" w:lineRule="auto"/>
      <w:jc w:val="center"/>
      <w:outlineLvl w:val="0"/>
    </w:pPr>
    <w:rPr>
      <w:rFonts w:ascii="Times New Roman" w:eastAsia="宋体" w:hAnsi="Times New Roman" w:cstheme="majorBidi"/>
      <w:b/>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A5DAC"/>
    <w:pPr>
      <w:autoSpaceDE w:val="0"/>
      <w:autoSpaceDN w:val="0"/>
      <w:adjustRightInd w:val="0"/>
      <w:spacing w:after="0" w:line="288" w:lineRule="auto"/>
      <w:jc w:val="both"/>
      <w:textAlignment w:val="center"/>
    </w:pPr>
    <w:rPr>
      <w:rFonts w:ascii="AdobeSongStd-Light" w:eastAsia="AdobeSongStd-Light" w:cs="AdobeSongStd-Light"/>
      <w:color w:val="000000"/>
      <w:sz w:val="24"/>
      <w:szCs w:val="24"/>
      <w:lang w:val="zh-CN"/>
    </w:rPr>
  </w:style>
  <w:style w:type="paragraph" w:styleId="a4">
    <w:name w:val="header"/>
    <w:basedOn w:val="a"/>
    <w:link w:val="a5"/>
    <w:uiPriority w:val="99"/>
    <w:unhideWhenUsed/>
    <w:rsid w:val="00BA5DAC"/>
    <w:pPr>
      <w:tabs>
        <w:tab w:val="center" w:pos="4320"/>
        <w:tab w:val="right" w:pos="8640"/>
      </w:tabs>
      <w:spacing w:after="0" w:line="240" w:lineRule="auto"/>
    </w:pPr>
  </w:style>
  <w:style w:type="character" w:customStyle="1" w:styleId="a5">
    <w:name w:val="页眉 字符"/>
    <w:basedOn w:val="a0"/>
    <w:link w:val="a4"/>
    <w:uiPriority w:val="99"/>
    <w:rsid w:val="00BA5DAC"/>
  </w:style>
  <w:style w:type="paragraph" w:styleId="a6">
    <w:name w:val="footer"/>
    <w:basedOn w:val="a"/>
    <w:link w:val="a7"/>
    <w:uiPriority w:val="99"/>
    <w:unhideWhenUsed/>
    <w:rsid w:val="00BA5DAC"/>
    <w:pPr>
      <w:tabs>
        <w:tab w:val="center" w:pos="4320"/>
        <w:tab w:val="right" w:pos="8640"/>
      </w:tabs>
      <w:spacing w:after="0" w:line="240" w:lineRule="auto"/>
    </w:pPr>
  </w:style>
  <w:style w:type="character" w:customStyle="1" w:styleId="a7">
    <w:name w:val="页脚 字符"/>
    <w:basedOn w:val="a0"/>
    <w:link w:val="a6"/>
    <w:uiPriority w:val="99"/>
    <w:rsid w:val="00BA5DAC"/>
  </w:style>
  <w:style w:type="paragraph" w:customStyle="1" w:styleId="a8">
    <w:name w:val="标题一"/>
    <w:basedOn w:val="a"/>
    <w:uiPriority w:val="99"/>
    <w:rsid w:val="00BA5DAC"/>
    <w:pPr>
      <w:autoSpaceDE w:val="0"/>
      <w:autoSpaceDN w:val="0"/>
      <w:adjustRightInd w:val="0"/>
      <w:spacing w:before="113" w:after="0" w:line="360" w:lineRule="atLeast"/>
      <w:jc w:val="both"/>
      <w:textAlignment w:val="center"/>
    </w:pPr>
    <w:rPr>
      <w:rFonts w:ascii="AdobeSongStd-Light" w:eastAsia="AdobeSongStd-Light" w:cs="AdobeSongStd-Light"/>
      <w:color w:val="000000"/>
      <w:sz w:val="21"/>
      <w:szCs w:val="21"/>
      <w:lang w:val="zh-CN"/>
    </w:rPr>
  </w:style>
  <w:style w:type="character" w:customStyle="1" w:styleId="a9">
    <w:name w:val="文字加粗"/>
    <w:uiPriority w:val="99"/>
    <w:rsid w:val="00BA5DAC"/>
    <w:rPr>
      <w:rFonts w:ascii="宋体" w:eastAsia="宋体" w:cs="宋体"/>
      <w:color w:val="000000"/>
      <w:sz w:val="21"/>
      <w:szCs w:val="21"/>
    </w:rPr>
  </w:style>
  <w:style w:type="paragraph" w:customStyle="1" w:styleId="aa">
    <w:name w:val="[无段落样式]"/>
    <w:rsid w:val="007F4ED6"/>
    <w:pPr>
      <w:autoSpaceDE w:val="0"/>
      <w:autoSpaceDN w:val="0"/>
      <w:adjustRightInd w:val="0"/>
      <w:spacing w:after="0" w:line="288" w:lineRule="auto"/>
      <w:jc w:val="both"/>
      <w:textAlignment w:val="center"/>
    </w:pPr>
    <w:rPr>
      <w:rFonts w:ascii="AdobeSongStd-Light" w:eastAsia="AdobeSongStd-Light" w:cs="AdobeSongStd-Light"/>
      <w:color w:val="000000"/>
      <w:sz w:val="24"/>
      <w:szCs w:val="24"/>
      <w:lang w:val="zh-CN"/>
    </w:rPr>
  </w:style>
  <w:style w:type="table" w:styleId="ab">
    <w:name w:val="Table Grid"/>
    <w:basedOn w:val="a1"/>
    <w:uiPriority w:val="39"/>
    <w:rsid w:val="007F4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表格中加粗"/>
    <w:uiPriority w:val="99"/>
    <w:rsid w:val="00F16ECD"/>
    <w:rPr>
      <w:color w:val="000000"/>
      <w:sz w:val="21"/>
      <w:szCs w:val="21"/>
    </w:rPr>
  </w:style>
  <w:style w:type="character" w:customStyle="1" w:styleId="ad">
    <w:name w:val="条－文字加粗"/>
    <w:uiPriority w:val="99"/>
    <w:rsid w:val="008F1B94"/>
    <w:rPr>
      <w:rFonts w:ascii="宋体" w:eastAsia="宋体" w:cs="宋体"/>
      <w:color w:val="000000"/>
      <w:sz w:val="21"/>
      <w:szCs w:val="21"/>
    </w:rPr>
  </w:style>
  <w:style w:type="character" w:customStyle="1" w:styleId="10">
    <w:name w:val="标题 1 字符"/>
    <w:basedOn w:val="a0"/>
    <w:link w:val="1"/>
    <w:uiPriority w:val="9"/>
    <w:rsid w:val="00811263"/>
    <w:rPr>
      <w:rFonts w:ascii="Times New Roman" w:eastAsia="宋体" w:hAnsi="Times New Roman" w:cstheme="majorBidi"/>
      <w:b/>
      <w:sz w:val="28"/>
      <w:szCs w:val="32"/>
    </w:rPr>
  </w:style>
  <w:style w:type="paragraph" w:styleId="TOC">
    <w:name w:val="TOC Heading"/>
    <w:basedOn w:val="1"/>
    <w:next w:val="a"/>
    <w:uiPriority w:val="39"/>
    <w:unhideWhenUsed/>
    <w:qFormat/>
    <w:rsid w:val="00811263"/>
    <w:pPr>
      <w:keepNext/>
      <w:keepLines/>
      <w:pageBreakBefore w:val="0"/>
      <w:widowControl/>
      <w:spacing w:after="0" w:line="259" w:lineRule="auto"/>
      <w:jc w:val="left"/>
      <w:outlineLvl w:val="9"/>
    </w:pPr>
    <w:rPr>
      <w:rFonts w:asciiTheme="majorHAnsi" w:hAnsiTheme="majorHAnsi"/>
      <w:b w:val="0"/>
      <w:color w:val="2F5496" w:themeColor="accent1" w:themeShade="BF"/>
      <w:sz w:val="32"/>
    </w:rPr>
  </w:style>
  <w:style w:type="paragraph" w:styleId="TOC1">
    <w:name w:val="toc 1"/>
    <w:basedOn w:val="a"/>
    <w:next w:val="a"/>
    <w:autoRedefine/>
    <w:uiPriority w:val="39"/>
    <w:unhideWhenUsed/>
    <w:rsid w:val="00811263"/>
    <w:pPr>
      <w:spacing w:after="100"/>
    </w:pPr>
  </w:style>
  <w:style w:type="character" w:styleId="ae">
    <w:name w:val="Hyperlink"/>
    <w:basedOn w:val="a0"/>
    <w:uiPriority w:val="99"/>
    <w:unhideWhenUsed/>
    <w:rsid w:val="0081126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06E93-3C6F-446F-AA04-D6ED01F05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505</Words>
  <Characters>2880</Characters>
  <Application>Microsoft Office Word</Application>
  <DocSecurity>0</DocSecurity>
  <Lines>24</Lines>
  <Paragraphs>6</Paragraphs>
  <ScaleCrop>false</ScaleCrop>
  <Company/>
  <LinksUpToDate>false</LinksUpToDate>
  <CharactersWithSpaces>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 伟</dc:creator>
  <cp:keywords/>
  <dc:description/>
  <cp:lastModifiedBy>lenovo</cp:lastModifiedBy>
  <cp:revision>4</cp:revision>
  <dcterms:created xsi:type="dcterms:W3CDTF">2021-09-06T01:43:00Z</dcterms:created>
  <dcterms:modified xsi:type="dcterms:W3CDTF">2021-09-06T01:50:00Z</dcterms:modified>
</cp:coreProperties>
</file>